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403AD" w14:textId="6CD2CE53" w:rsidR="00066AB9" w:rsidRPr="00BF59CD" w:rsidRDefault="00066AB9" w:rsidP="00066AB9">
      <w:pPr>
        <w:snapToGrid w:val="0"/>
        <w:spacing w:beforeLines="50" w:before="120"/>
        <w:jc w:val="both"/>
        <w:rPr>
          <w:rFonts w:ascii="Arial" w:eastAsiaTheme="minorEastAsia" w:hAnsi="Arial" w:cs="Arial"/>
          <w:b/>
          <w:bCs/>
          <w:lang w:val="sv-SE"/>
        </w:rPr>
      </w:pPr>
      <w:r w:rsidRPr="00A6763A">
        <w:rPr>
          <w:rFonts w:ascii="Arial" w:eastAsia="Batang" w:hAnsi="Arial" w:cs="Arial"/>
          <w:b/>
          <w:bCs/>
          <w:lang w:val="sv-SE" w:eastAsia="en-US"/>
        </w:rPr>
        <w:t>3GPP TSG RAN WG1 #</w:t>
      </w:r>
      <w:r w:rsidR="0033516E" w:rsidRPr="00A6763A">
        <w:rPr>
          <w:rFonts w:ascii="Arial" w:eastAsia="Batang" w:hAnsi="Arial" w:cs="Arial"/>
          <w:b/>
          <w:bCs/>
          <w:lang w:val="sv-SE" w:eastAsia="en-US"/>
        </w:rPr>
        <w:t>1</w:t>
      </w:r>
      <w:r w:rsidR="0033516E">
        <w:rPr>
          <w:rFonts w:ascii="Arial" w:eastAsia="Batang" w:hAnsi="Arial" w:cs="Arial"/>
          <w:b/>
          <w:bCs/>
          <w:lang w:val="sv-SE" w:eastAsia="en-US"/>
        </w:rPr>
        <w:t>2</w:t>
      </w:r>
      <w:r w:rsidR="0033516E">
        <w:rPr>
          <w:rFonts w:ascii="Arial" w:eastAsiaTheme="minorEastAsia" w:hAnsi="Arial" w:cs="Arial" w:hint="eastAsia"/>
          <w:b/>
          <w:bCs/>
          <w:lang w:val="sv-SE"/>
        </w:rPr>
        <w:t>1</w:t>
      </w:r>
      <w:r w:rsidR="0033516E">
        <w:rPr>
          <w:rFonts w:ascii="Arial" w:eastAsia="Batang" w:hAnsi="Arial" w:cs="Arial"/>
          <w:b/>
          <w:bCs/>
          <w:lang w:val="sv-SE" w:eastAsia="en-US"/>
        </w:rPr>
        <w:t xml:space="preserve"> </w:t>
      </w:r>
      <w:r w:rsidR="000949D3">
        <w:rPr>
          <w:rFonts w:ascii="Arial" w:eastAsia="Batang" w:hAnsi="Arial" w:cs="Arial"/>
          <w:b/>
          <w:bCs/>
          <w:lang w:val="sv-SE" w:eastAsia="en-US"/>
        </w:rPr>
        <w:t>Meeting</w:t>
      </w:r>
      <w:r w:rsidRPr="00A6763A">
        <w:rPr>
          <w:rFonts w:ascii="Arial" w:eastAsia="Batang" w:hAnsi="Arial" w:cs="Arial"/>
          <w:b/>
          <w:bCs/>
          <w:lang w:val="sv-SE" w:eastAsia="en-US"/>
        </w:rPr>
        <w:tab/>
      </w:r>
      <w:r w:rsidRPr="00A6763A">
        <w:rPr>
          <w:rFonts w:ascii="Arial" w:eastAsia="Batang" w:hAnsi="Arial" w:cs="Arial"/>
          <w:b/>
          <w:bCs/>
          <w:lang w:val="sv-SE" w:eastAsia="en-US"/>
        </w:rPr>
        <w:tab/>
        <w:t xml:space="preserve">        </w:t>
      </w:r>
      <w:r w:rsidR="00942F5C">
        <w:rPr>
          <w:rFonts w:ascii="Arial" w:eastAsia="Batang" w:hAnsi="Arial" w:cs="Arial"/>
          <w:b/>
          <w:bCs/>
          <w:lang w:val="sv-SE" w:eastAsia="en-US"/>
        </w:rPr>
        <w:t xml:space="preserve">     </w:t>
      </w:r>
      <w:r w:rsidR="00FE20F3">
        <w:rPr>
          <w:rFonts w:ascii="Arial" w:eastAsia="Batang" w:hAnsi="Arial" w:cs="Arial"/>
          <w:b/>
          <w:bCs/>
          <w:lang w:val="sv-SE" w:eastAsia="en-US"/>
        </w:rPr>
        <w:tab/>
      </w:r>
      <w:r w:rsidR="00FE20F3">
        <w:rPr>
          <w:rFonts w:ascii="Arial" w:eastAsia="Batang" w:hAnsi="Arial" w:cs="Arial"/>
          <w:b/>
          <w:bCs/>
          <w:lang w:val="sv-SE" w:eastAsia="en-US"/>
        </w:rPr>
        <w:tab/>
      </w:r>
      <w:r w:rsidR="00DC3C97">
        <w:rPr>
          <w:rFonts w:ascii="Arial" w:eastAsia="Batang" w:hAnsi="Arial" w:cs="Arial"/>
          <w:b/>
          <w:bCs/>
          <w:lang w:val="sv-SE" w:eastAsia="en-US"/>
        </w:rPr>
        <w:tab/>
      </w:r>
      <w:r w:rsidR="00510934" w:rsidRPr="00510934">
        <w:rPr>
          <w:rFonts w:ascii="Arial" w:eastAsia="Batang" w:hAnsi="Arial" w:cs="Arial"/>
          <w:b/>
          <w:bCs/>
          <w:lang w:val="sv-SE" w:eastAsia="en-US"/>
        </w:rPr>
        <w:t>R1-</w:t>
      </w:r>
      <w:r w:rsidR="0033516E" w:rsidRPr="00510934">
        <w:rPr>
          <w:rFonts w:ascii="Arial" w:eastAsia="Batang" w:hAnsi="Arial" w:cs="Arial"/>
          <w:b/>
          <w:bCs/>
          <w:lang w:val="sv-SE" w:eastAsia="en-US"/>
        </w:rPr>
        <w:t>2</w:t>
      </w:r>
      <w:r w:rsidR="0033516E">
        <w:rPr>
          <w:rFonts w:ascii="Arial" w:eastAsia="Batang" w:hAnsi="Arial" w:cs="Arial"/>
          <w:b/>
          <w:bCs/>
          <w:lang w:val="sv-SE" w:eastAsia="en-US"/>
        </w:rPr>
        <w:t>50</w:t>
      </w:r>
      <w:r w:rsidR="00DC3C97">
        <w:rPr>
          <w:rFonts w:ascii="Arial" w:eastAsiaTheme="minorEastAsia" w:hAnsi="Arial" w:cs="Arial"/>
          <w:b/>
          <w:bCs/>
          <w:lang w:val="sv-SE"/>
        </w:rPr>
        <w:t>3421</w:t>
      </w:r>
    </w:p>
    <w:p w14:paraId="3B3C4422" w14:textId="44EF65CF" w:rsidR="00FE20F3" w:rsidRDefault="0033516E" w:rsidP="00066AB9">
      <w:pPr>
        <w:snapToGrid w:val="0"/>
        <w:ind w:left="2791" w:hangingChars="993" w:hanging="2791"/>
        <w:jc w:val="both"/>
        <w:rPr>
          <w:rFonts w:ascii="Arial" w:eastAsia="Batang" w:hAnsi="Arial" w:cs="Arial"/>
          <w:b/>
          <w:bCs/>
          <w:lang w:val="sv-SE" w:eastAsia="en-US"/>
        </w:rPr>
      </w:pPr>
      <w:r w:rsidRPr="00EC48EB">
        <w:rPr>
          <w:rFonts w:ascii="Arial" w:hAnsi="Arial" w:cs="Arial"/>
          <w:b/>
          <w:bCs/>
          <w:sz w:val="28"/>
        </w:rPr>
        <w:t>St Julian’s, Malta</w:t>
      </w:r>
      <w:r>
        <w:rPr>
          <w:rFonts w:ascii="Arial" w:hAnsi="Arial" w:cs="Arial"/>
          <w:b/>
          <w:bCs/>
          <w:sz w:val="28"/>
        </w:rPr>
        <w:t xml:space="preserve">, </w:t>
      </w:r>
      <w:r>
        <w:rPr>
          <w:rFonts w:ascii="Malgun Gothic" w:eastAsia="Malgun Gothic" w:hAnsi="Malgun Gothic" w:cs="Malgun Gothic"/>
          <w:b/>
          <w:bCs/>
          <w:sz w:val="28"/>
          <w:lang w:eastAsia="ko-KR"/>
        </w:rPr>
        <w:t xml:space="preserve">May </w:t>
      </w:r>
      <w:r>
        <w:rPr>
          <w:rFonts w:ascii="Arial" w:hAnsi="Arial" w:cs="Arial"/>
          <w:b/>
          <w:bCs/>
          <w:sz w:val="28"/>
        </w:rPr>
        <w:t>19</w:t>
      </w:r>
      <w:r>
        <w:rPr>
          <w:rFonts w:ascii="Malgun Gothic" w:eastAsia="Malgun Gothic" w:hAnsi="Malgun Gothic" w:cs="Malgun Gothic" w:hint="eastAsia"/>
          <w:b/>
          <w:bCs/>
          <w:sz w:val="28"/>
          <w:vertAlign w:val="superscript"/>
          <w:lang w:eastAsia="ko-KR"/>
        </w:rPr>
        <w:t>th</w:t>
      </w:r>
      <w:r>
        <w:rPr>
          <w:rFonts w:ascii="Arial" w:hAnsi="Arial" w:cs="Arial"/>
          <w:b/>
          <w:bCs/>
          <w:sz w:val="28"/>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rd</w:t>
      </w:r>
      <w:r>
        <w:rPr>
          <w:rFonts w:ascii="Arial" w:hAnsi="Arial" w:cs="Arial"/>
          <w:b/>
          <w:bCs/>
          <w:sz w:val="28"/>
        </w:rPr>
        <w:t>, 2025</w:t>
      </w:r>
      <w:bookmarkStart w:id="0" w:name="Source"/>
      <w:bookmarkStart w:id="1" w:name="DocumentFor"/>
      <w:bookmarkEnd w:id="0"/>
      <w:bookmarkEnd w:id="1"/>
    </w:p>
    <w:p w14:paraId="65558578" w14:textId="6BCB20CE" w:rsidR="00066AB9" w:rsidRPr="00066AB9" w:rsidRDefault="00066AB9" w:rsidP="00066AB9">
      <w:pPr>
        <w:snapToGrid w:val="0"/>
        <w:ind w:left="2386" w:hangingChars="993" w:hanging="2386"/>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w:t>
      </w:r>
      <w:r w:rsidR="00C47899">
        <w:rPr>
          <w:rFonts w:ascii="Arial" w:eastAsia="Batang" w:hAnsi="Arial" w:cs="Arial"/>
          <w:b/>
          <w:bCs/>
          <w:lang w:eastAsia="en-US"/>
        </w:rPr>
        <w:t>12.2</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65C6BC09"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4F058D">
        <w:rPr>
          <w:rFonts w:ascii="Arial" w:eastAsia="Batang" w:hAnsi="Arial" w:cs="Arial"/>
          <w:b/>
          <w:bCs/>
          <w:lang w:eastAsia="en-US"/>
        </w:rPr>
        <w:t xml:space="preserve">Discussion on </w:t>
      </w:r>
      <w:r w:rsidR="00FD7BA3">
        <w:rPr>
          <w:rFonts w:ascii="Arial" w:eastAsia="Batang" w:hAnsi="Arial" w:cs="Arial"/>
          <w:b/>
          <w:bCs/>
          <w:lang w:eastAsia="en-US"/>
        </w:rPr>
        <w:t>low band carrier aggregation via switching</w:t>
      </w:r>
      <w:r w:rsidR="00935142">
        <w:rPr>
          <w:rFonts w:ascii="Arial" w:eastAsia="Batang" w:hAnsi="Arial" w:cs="Arial"/>
          <w:b/>
          <w:bCs/>
          <w:lang w:eastAsia="en-US"/>
        </w:rPr>
        <w:t xml:space="preserve"> </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650707" w:rsidRDefault="00364697" w:rsidP="006512FD">
      <w:pPr>
        <w:pStyle w:val="Heading1"/>
        <w:spacing w:before="240" w:after="240"/>
        <w:ind w:left="578" w:hanging="578"/>
        <w:rPr>
          <w:lang w:eastAsia="zh-CN"/>
        </w:rPr>
      </w:pPr>
      <w:bookmarkStart w:id="2" w:name="_Ref124589705"/>
      <w:bookmarkStart w:id="3" w:name="_Ref129681862"/>
      <w:r w:rsidRPr="00650707">
        <w:rPr>
          <w:lang w:eastAsia="zh-CN"/>
        </w:rPr>
        <w:t>Introduction</w:t>
      </w:r>
      <w:bookmarkEnd w:id="2"/>
      <w:bookmarkEnd w:id="3"/>
    </w:p>
    <w:p w14:paraId="586F416C" w14:textId="055131BE" w:rsidR="000C3CF0" w:rsidRPr="00650707" w:rsidRDefault="00650707" w:rsidP="000C3CF0">
      <w:pPr>
        <w:spacing w:after="0" w:line="240" w:lineRule="auto"/>
        <w:rPr>
          <w:rFonts w:ascii="Times New Roman" w:eastAsia="SimSun" w:hAnsi="Times New Roman" w:cs="Times New Roman"/>
          <w:lang w:eastAsia="zh-CN"/>
        </w:rPr>
      </w:pPr>
      <w:r w:rsidRPr="00650707">
        <w:rPr>
          <w:rFonts w:ascii="Times New Roman" w:eastAsia="SimSun" w:hAnsi="Times New Roman" w:cs="Times New Roman"/>
          <w:lang w:eastAsia="zh-CN"/>
        </w:rPr>
        <w:t xml:space="preserve">In RAN#107, </w:t>
      </w:r>
      <w:r w:rsidR="00EB1D6F" w:rsidRPr="00650707">
        <w:rPr>
          <w:rFonts w:ascii="Times New Roman" w:eastAsia="SimSun" w:hAnsi="Times New Roman" w:cs="Times New Roman"/>
          <w:lang w:eastAsia="zh-CN"/>
        </w:rPr>
        <w:t xml:space="preserve">RP-250247 </w:t>
      </w:r>
      <w:r w:rsidR="00851B8E" w:rsidRPr="00650707">
        <w:rPr>
          <w:rFonts w:ascii="Times New Roman" w:eastAsia="SimSun" w:hAnsi="Times New Roman" w:cs="Times New Roman"/>
          <w:lang w:eastAsia="zh-CN"/>
        </w:rPr>
        <w:t xml:space="preserve">[1] </w:t>
      </w:r>
      <w:r w:rsidR="00470F25" w:rsidRPr="00650707">
        <w:rPr>
          <w:rFonts w:ascii="Times New Roman" w:eastAsia="SimSun" w:hAnsi="Times New Roman" w:cs="Times New Roman"/>
          <w:lang w:eastAsia="zh-CN"/>
        </w:rPr>
        <w:t xml:space="preserve">has been approved </w:t>
      </w:r>
      <w:r w:rsidR="00EB1D6F" w:rsidRPr="00650707">
        <w:rPr>
          <w:rFonts w:ascii="Times New Roman" w:eastAsia="SimSun" w:hAnsi="Times New Roman" w:cs="Times New Roman"/>
          <w:lang w:eastAsia="zh-CN"/>
        </w:rPr>
        <w:t>for detailed scope of the WI for low band carrier aggregation via switching</w:t>
      </w:r>
      <w:r w:rsidR="000C3CF0" w:rsidRPr="00650707">
        <w:rPr>
          <w:rFonts w:ascii="Times New Roman" w:eastAsia="SimSun" w:hAnsi="Times New Roman" w:cs="Times New Roman"/>
          <w:lang w:eastAsia="zh-CN"/>
        </w:rPr>
        <w:t>:</w:t>
      </w:r>
    </w:p>
    <w:p w14:paraId="4E07AD7D" w14:textId="77777777" w:rsidR="00470F25" w:rsidRPr="00650707" w:rsidRDefault="00470F25" w:rsidP="000C3CF0">
      <w:pPr>
        <w:spacing w:after="0" w:line="240" w:lineRule="auto"/>
        <w:rPr>
          <w:rFonts w:ascii="Times New Roman" w:eastAsia="SimSun" w:hAnsi="Times New Roman" w:cs="Times New Roman"/>
          <w:lang w:eastAsia="zh-CN"/>
        </w:rPr>
      </w:pPr>
    </w:p>
    <w:p w14:paraId="304F29CB" w14:textId="77777777" w:rsidR="00470F25" w:rsidRPr="00A82987" w:rsidRDefault="00470F25" w:rsidP="00470F25">
      <w:pPr>
        <w:spacing w:after="0" w:line="276" w:lineRule="auto"/>
        <w:rPr>
          <w:rFonts w:ascii="Times New Roman" w:eastAsia="DengXian" w:hAnsi="Times New Roman" w:cs="Times New Roman"/>
          <w:bCs/>
          <w:kern w:val="2"/>
          <w14:ligatures w14:val="standardContextual"/>
        </w:rPr>
      </w:pPr>
      <w:r w:rsidRPr="00A82987">
        <w:rPr>
          <w:rFonts w:ascii="Times New Roman" w:eastAsia="DengXian" w:hAnsi="Times New Roman" w:cs="Times New Roman"/>
          <w:bCs/>
          <w:kern w:val="2"/>
          <w14:ligatures w14:val="standardContextual"/>
        </w:rPr>
        <w:t>Introduce physical layer procedures and requirements to enable low band carrier aggregation via switching according to the following objectives:</w:t>
      </w:r>
    </w:p>
    <w:p w14:paraId="68031A40" w14:textId="77777777" w:rsidR="00470F25" w:rsidRPr="00A82987" w:rsidRDefault="00470F25" w:rsidP="00470F25">
      <w:pPr>
        <w:spacing w:line="276" w:lineRule="auto"/>
        <w:ind w:left="568" w:hanging="284"/>
        <w:rPr>
          <w:rFonts w:ascii="Times New Roman" w:eastAsia="SimSun" w:hAnsi="Times New Roman" w:cs="Times New Roman"/>
          <w:kern w:val="2"/>
          <w:lang w:val="en-US"/>
          <w14:ligatures w14:val="standardContextual"/>
        </w:rPr>
      </w:pPr>
      <w:r w:rsidRPr="00A82987">
        <w:rPr>
          <w:rFonts w:ascii="Times New Roman" w:eastAsia="SimSun" w:hAnsi="Times New Roman" w:cs="Times New Roman"/>
          <w:bCs/>
          <w:kern w:val="2"/>
          <w14:ligatures w14:val="standardContextual"/>
        </w:rPr>
        <w:t>-</w:t>
      </w:r>
      <w:r w:rsidRPr="00A82987">
        <w:rPr>
          <w:rFonts w:ascii="Times New Roman" w:eastAsia="SimSun" w:hAnsi="Times New Roman" w:cs="Times New Roman"/>
          <w:bCs/>
          <w:kern w:val="2"/>
          <w14:ligatures w14:val="standardContextual"/>
        </w:rPr>
        <w:tab/>
      </w:r>
      <w:r w:rsidRPr="00A82987">
        <w:rPr>
          <w:rFonts w:ascii="Times New Roman" w:eastAsia="SimSun" w:hAnsi="Times New Roman" w:cs="Times New Roman"/>
          <w:kern w:val="2"/>
          <w14:ligatures w14:val="standardContextual"/>
        </w:rPr>
        <w:t>Specify UE requirements, including at least switching gap (if needed), and corresponding physical layer procedures to allow switching between {case 1, case 2} [RAN4, RAN1]</w:t>
      </w:r>
    </w:p>
    <w:p w14:paraId="5A12F7FE" w14:textId="77777777" w:rsidR="00470F25" w:rsidRPr="00A82987" w:rsidRDefault="00470F25" w:rsidP="00470F25">
      <w:pPr>
        <w:spacing w:line="276" w:lineRule="auto"/>
        <w:ind w:left="851" w:hanging="284"/>
        <w:rPr>
          <w:rFonts w:ascii="Times New Roman" w:eastAsia="DengXian" w:hAnsi="Times New Roman" w:cs="Times New Roman"/>
          <w:kern w:val="2"/>
          <w14:ligatures w14:val="standardContextual"/>
        </w:rPr>
      </w:pPr>
      <w:r w:rsidRPr="00A82987">
        <w:rPr>
          <w:rFonts w:ascii="Times New Roman" w:eastAsia="DengXian" w:hAnsi="Times New Roman" w:cs="Times New Roman"/>
          <w:kern w:val="2"/>
          <w14:ligatures w14:val="standardContextual"/>
        </w:rPr>
        <w:t>-</w:t>
      </w:r>
      <w:r w:rsidRPr="00A82987">
        <w:rPr>
          <w:rFonts w:ascii="Times New Roman" w:eastAsia="DengXian" w:hAnsi="Times New Roman" w:cs="Times New Roman"/>
          <w:kern w:val="2"/>
          <w14:ligatures w14:val="standardContextual"/>
        </w:rPr>
        <w:tab/>
        <w:t>Case 1: Tx/Rx on FDD carrier 1 and no Rx on SDL carrier 2</w:t>
      </w:r>
    </w:p>
    <w:p w14:paraId="24C0B6F3" w14:textId="77777777" w:rsidR="00470F25" w:rsidRPr="00A82987" w:rsidRDefault="00470F25" w:rsidP="00470F25">
      <w:pPr>
        <w:spacing w:line="276" w:lineRule="auto"/>
        <w:ind w:left="851" w:hanging="284"/>
        <w:rPr>
          <w:rFonts w:ascii="Times New Roman" w:eastAsia="DengXian" w:hAnsi="Times New Roman" w:cs="Times New Roman"/>
          <w:kern w:val="2"/>
          <w14:ligatures w14:val="standardContextual"/>
        </w:rPr>
      </w:pPr>
      <w:r w:rsidRPr="00A82987">
        <w:rPr>
          <w:rFonts w:ascii="Times New Roman" w:eastAsia="DengXian" w:hAnsi="Times New Roman" w:cs="Times New Roman"/>
          <w:kern w:val="2"/>
          <w14:ligatures w14:val="standardContextual"/>
        </w:rPr>
        <w:t>-</w:t>
      </w:r>
      <w:r w:rsidRPr="00A82987">
        <w:rPr>
          <w:rFonts w:ascii="Times New Roman" w:eastAsia="DengXian" w:hAnsi="Times New Roman" w:cs="Times New Roman"/>
          <w:kern w:val="2"/>
          <w14:ligatures w14:val="standardContextual"/>
        </w:rPr>
        <w:tab/>
        <w:t>Case 2: Rx on SDL carrier 2 and no Tx/Rx on FDD carrier 1</w:t>
      </w:r>
    </w:p>
    <w:p w14:paraId="10373C6E" w14:textId="77777777" w:rsidR="00470F25" w:rsidRPr="00A82987" w:rsidRDefault="00470F25" w:rsidP="00470F25">
      <w:pPr>
        <w:spacing w:line="276" w:lineRule="auto"/>
        <w:ind w:left="851" w:hanging="284"/>
        <w:rPr>
          <w:rFonts w:ascii="Times New Roman" w:eastAsia="DengXian" w:hAnsi="Times New Roman" w:cs="Times New Roman"/>
          <w:kern w:val="2"/>
          <w14:ligatures w14:val="standardContextual"/>
        </w:rPr>
      </w:pPr>
      <w:r w:rsidRPr="00A82987">
        <w:rPr>
          <w:rFonts w:ascii="Times New Roman" w:eastAsia="DengXian" w:hAnsi="Times New Roman" w:cs="Times New Roman"/>
          <w:kern w:val="2"/>
          <w14:ligatures w14:val="standardContextual"/>
        </w:rPr>
        <w:t>-</w:t>
      </w:r>
      <w:r w:rsidRPr="00A82987">
        <w:rPr>
          <w:rFonts w:ascii="Times New Roman" w:eastAsia="DengXian" w:hAnsi="Times New Roman" w:cs="Times New Roman"/>
          <w:kern w:val="2"/>
          <w14:ligatures w14:val="standardContextual"/>
        </w:rPr>
        <w:tab/>
        <w:t>RAN1 to specify only a semi-static switching pattern based on RRC configuration, liaising with RAN2 and RAN4 as necessary</w:t>
      </w:r>
    </w:p>
    <w:p w14:paraId="32160B9F" w14:textId="77777777" w:rsidR="00470F25" w:rsidRPr="00A82987" w:rsidRDefault="00470F25" w:rsidP="00470F25">
      <w:pPr>
        <w:spacing w:line="276" w:lineRule="auto"/>
        <w:ind w:left="851" w:hanging="284"/>
        <w:rPr>
          <w:rFonts w:ascii="Times New Roman" w:eastAsia="DengXian" w:hAnsi="Times New Roman" w:cs="Times New Roman"/>
          <w:kern w:val="2"/>
          <w14:ligatures w14:val="standardContextual"/>
        </w:rPr>
      </w:pPr>
      <w:r w:rsidRPr="00A82987">
        <w:rPr>
          <w:rFonts w:ascii="Times New Roman" w:eastAsia="DengXian" w:hAnsi="Times New Roman" w:cs="Times New Roman"/>
          <w:kern w:val="2"/>
          <w14:ligatures w14:val="standardContextual"/>
        </w:rPr>
        <w:t>-</w:t>
      </w:r>
      <w:r w:rsidRPr="00A82987">
        <w:rPr>
          <w:rFonts w:ascii="Times New Roman" w:eastAsia="DengXian" w:hAnsi="Times New Roman" w:cs="Times New Roman"/>
          <w:kern w:val="2"/>
          <w14:ligatures w14:val="standardContextual"/>
        </w:rPr>
        <w:tab/>
        <w:t>Specify the switching delay and time mask for carrier switching [RAN4]</w:t>
      </w:r>
    </w:p>
    <w:p w14:paraId="12C8AD6E" w14:textId="77777777" w:rsidR="00470F25" w:rsidRPr="00A82987" w:rsidRDefault="00470F25" w:rsidP="00470F25">
      <w:pPr>
        <w:spacing w:line="276" w:lineRule="auto"/>
        <w:ind w:left="568" w:hanging="284"/>
        <w:rPr>
          <w:rFonts w:ascii="Times New Roman" w:eastAsia="SimSun" w:hAnsi="Times New Roman" w:cs="Times New Roman"/>
          <w:kern w:val="2"/>
          <w14:ligatures w14:val="standardContextual"/>
        </w:rPr>
      </w:pPr>
      <w:r w:rsidRPr="00A82987">
        <w:rPr>
          <w:rFonts w:ascii="Times New Roman" w:eastAsia="SimSun" w:hAnsi="Times New Roman" w:cs="Times New Roman"/>
          <w:kern w:val="2"/>
          <w14:ligatures w14:val="standardContextual"/>
        </w:rPr>
        <w:t>-</w:t>
      </w:r>
      <w:r w:rsidRPr="00A82987">
        <w:rPr>
          <w:rFonts w:ascii="Times New Roman" w:eastAsia="SimSun" w:hAnsi="Times New Roman" w:cs="Times New Roman"/>
          <w:kern w:val="2"/>
          <w14:ligatures w14:val="standardContextual"/>
        </w:rPr>
        <w:tab/>
        <w:t>Specify necessary RRM requirements [RAN4]</w:t>
      </w:r>
    </w:p>
    <w:p w14:paraId="37B20032" w14:textId="77777777" w:rsidR="00470F25" w:rsidRPr="00A82987" w:rsidRDefault="00470F25" w:rsidP="00470F25">
      <w:pPr>
        <w:spacing w:line="276" w:lineRule="auto"/>
        <w:ind w:left="568" w:hanging="284"/>
        <w:rPr>
          <w:rFonts w:ascii="Times New Roman" w:eastAsia="SimSun" w:hAnsi="Times New Roman" w:cs="Times New Roman"/>
          <w:kern w:val="2"/>
          <w14:ligatures w14:val="standardContextual"/>
        </w:rPr>
      </w:pPr>
      <w:r w:rsidRPr="00A82987">
        <w:rPr>
          <w:rFonts w:ascii="Times New Roman" w:eastAsia="SimSun" w:hAnsi="Times New Roman" w:cs="Times New Roman"/>
          <w:kern w:val="2"/>
          <w14:ligatures w14:val="standardContextual"/>
        </w:rPr>
        <w:t>-</w:t>
      </w:r>
      <w:r w:rsidRPr="00A82987">
        <w:rPr>
          <w:rFonts w:ascii="Times New Roman" w:eastAsia="SimSun" w:hAnsi="Times New Roman" w:cs="Times New Roman"/>
          <w:kern w:val="2"/>
          <w14:ligatures w14:val="standardContextual"/>
        </w:rPr>
        <w:tab/>
        <w:t>Define the corresponding UE capabilities [RAN4, RAN2, RAN1]</w:t>
      </w:r>
    </w:p>
    <w:p w14:paraId="42BE5096" w14:textId="77777777" w:rsidR="00470F25" w:rsidRPr="00A82987" w:rsidRDefault="00470F25" w:rsidP="00470F25">
      <w:pPr>
        <w:spacing w:line="276" w:lineRule="auto"/>
        <w:ind w:left="568" w:hanging="284"/>
        <w:rPr>
          <w:rFonts w:ascii="Times New Roman" w:eastAsia="SimSun" w:hAnsi="Times New Roman" w:cs="Times New Roman"/>
          <w:kern w:val="2"/>
          <w14:ligatures w14:val="standardContextual"/>
        </w:rPr>
      </w:pPr>
      <w:r w:rsidRPr="00A82987">
        <w:rPr>
          <w:rFonts w:ascii="Times New Roman" w:eastAsia="SimSun" w:hAnsi="Times New Roman" w:cs="Times New Roman"/>
          <w:kern w:val="2"/>
          <w14:ligatures w14:val="standardContextual"/>
        </w:rPr>
        <w:t>-</w:t>
      </w:r>
      <w:r w:rsidRPr="00A82987">
        <w:rPr>
          <w:rFonts w:ascii="Times New Roman" w:eastAsia="SimSun" w:hAnsi="Times New Roman" w:cs="Times New Roman"/>
          <w:kern w:val="2"/>
          <w14:ligatures w14:val="standardContextual"/>
        </w:rPr>
        <w:tab/>
        <w:t>Consider the following deployment constraints:</w:t>
      </w:r>
    </w:p>
    <w:p w14:paraId="1A265CD7" w14:textId="77777777" w:rsidR="00470F25" w:rsidRPr="00A82987" w:rsidRDefault="00470F25" w:rsidP="00470F25">
      <w:pPr>
        <w:spacing w:line="276" w:lineRule="auto"/>
        <w:ind w:left="851" w:hanging="284"/>
        <w:rPr>
          <w:rFonts w:ascii="Times New Roman" w:eastAsia="DengXian" w:hAnsi="Times New Roman" w:cs="Times New Roman"/>
          <w:kern w:val="2"/>
          <w14:ligatures w14:val="standardContextual"/>
        </w:rPr>
      </w:pPr>
      <w:r w:rsidRPr="00A82987">
        <w:rPr>
          <w:rFonts w:ascii="Times New Roman" w:eastAsia="DengXian" w:hAnsi="Times New Roman" w:cs="Times New Roman"/>
          <w:kern w:val="2"/>
          <w14:ligatures w14:val="standardContextual"/>
        </w:rPr>
        <w:t>-</w:t>
      </w:r>
      <w:r w:rsidRPr="00A82987">
        <w:rPr>
          <w:rFonts w:ascii="Times New Roman" w:eastAsia="DengXian" w:hAnsi="Times New Roman" w:cs="Times New Roman"/>
          <w:kern w:val="2"/>
          <w14:ligatures w14:val="standardContextual"/>
        </w:rPr>
        <w:tab/>
        <w:t>The carrier frequency for all cases is &lt;1 GHz</w:t>
      </w:r>
    </w:p>
    <w:p w14:paraId="4CC46F7C" w14:textId="77777777" w:rsidR="00470F25" w:rsidRPr="00A82987" w:rsidRDefault="00470F25" w:rsidP="00470F25">
      <w:pPr>
        <w:spacing w:line="276" w:lineRule="auto"/>
        <w:ind w:left="851" w:hanging="284"/>
        <w:rPr>
          <w:rFonts w:ascii="Times New Roman" w:eastAsia="DengXian" w:hAnsi="Times New Roman" w:cs="Times New Roman"/>
          <w:kern w:val="2"/>
          <w14:ligatures w14:val="standardContextual"/>
        </w:rPr>
      </w:pPr>
      <w:r w:rsidRPr="00A82987">
        <w:rPr>
          <w:rFonts w:ascii="Times New Roman" w:eastAsia="DengXian" w:hAnsi="Times New Roman" w:cs="Times New Roman"/>
          <w:kern w:val="2"/>
          <w14:ligatures w14:val="standardContextual"/>
        </w:rPr>
        <w:t>-</w:t>
      </w:r>
      <w:r w:rsidRPr="00A82987">
        <w:rPr>
          <w:rFonts w:ascii="Times New Roman" w:eastAsia="DengXian" w:hAnsi="Times New Roman" w:cs="Times New Roman"/>
          <w:kern w:val="2"/>
          <w14:ligatures w14:val="standardContextual"/>
        </w:rPr>
        <w:tab/>
        <w:t>Co-located and synchronized network deployment for both carriers</w:t>
      </w:r>
    </w:p>
    <w:p w14:paraId="26F5B78C" w14:textId="77777777" w:rsidR="00470F25" w:rsidRPr="00A82987" w:rsidRDefault="00470F25" w:rsidP="00470F25">
      <w:pPr>
        <w:spacing w:line="276" w:lineRule="auto"/>
        <w:ind w:left="851" w:hanging="284"/>
        <w:rPr>
          <w:rFonts w:ascii="Times New Roman" w:eastAsia="DengXian" w:hAnsi="Times New Roman" w:cs="Times New Roman"/>
          <w:kern w:val="2"/>
          <w14:ligatures w14:val="standardContextual"/>
        </w:rPr>
      </w:pPr>
      <w:r w:rsidRPr="00A82987">
        <w:rPr>
          <w:rFonts w:ascii="Times New Roman" w:eastAsia="DengXian" w:hAnsi="Times New Roman" w:cs="Times New Roman"/>
          <w:kern w:val="2"/>
          <w14:ligatures w14:val="standardContextual"/>
        </w:rPr>
        <w:t>-</w:t>
      </w:r>
      <w:r w:rsidRPr="00A82987">
        <w:rPr>
          <w:rFonts w:ascii="Times New Roman" w:eastAsia="DengXian" w:hAnsi="Times New Roman" w:cs="Times New Roman"/>
          <w:kern w:val="2"/>
          <w14:ligatures w14:val="standardContextual"/>
        </w:rPr>
        <w:tab/>
        <w:t>Both carriers are in a single TAG</w:t>
      </w:r>
    </w:p>
    <w:p w14:paraId="3B8F44FC" w14:textId="77777777" w:rsidR="00470F25" w:rsidRPr="00A82987" w:rsidRDefault="00470F25" w:rsidP="00470F25">
      <w:pPr>
        <w:spacing w:line="276" w:lineRule="auto"/>
        <w:ind w:left="851" w:hanging="284"/>
        <w:rPr>
          <w:rFonts w:ascii="Times New Roman" w:eastAsia="DengXian" w:hAnsi="Times New Roman" w:cs="Times New Roman"/>
          <w:kern w:val="2"/>
          <w14:ligatures w14:val="standardContextual"/>
        </w:rPr>
      </w:pPr>
      <w:r w:rsidRPr="00A82987">
        <w:rPr>
          <w:rFonts w:ascii="Times New Roman" w:eastAsia="DengXian" w:hAnsi="Times New Roman" w:cs="Times New Roman"/>
          <w:kern w:val="2"/>
          <w14:ligatures w14:val="standardContextual"/>
        </w:rPr>
        <w:t>-</w:t>
      </w:r>
      <w:r w:rsidRPr="00A82987">
        <w:rPr>
          <w:rFonts w:ascii="Times New Roman" w:eastAsia="DengXian" w:hAnsi="Times New Roman" w:cs="Times New Roman"/>
          <w:kern w:val="2"/>
          <w14:ligatures w14:val="standardContextual"/>
        </w:rPr>
        <w:tab/>
        <w:t>SCS 15KHz on both carriers</w:t>
      </w:r>
    </w:p>
    <w:p w14:paraId="02564A32" w14:textId="77777777" w:rsidR="00470F25" w:rsidRPr="00A82987" w:rsidRDefault="00470F25" w:rsidP="00470F25">
      <w:pPr>
        <w:spacing w:line="276" w:lineRule="auto"/>
        <w:ind w:left="568" w:hanging="284"/>
        <w:rPr>
          <w:rFonts w:ascii="Times New Roman" w:eastAsia="SimSun" w:hAnsi="Times New Roman" w:cs="Times New Roman"/>
          <w:kern w:val="2"/>
          <w14:ligatures w14:val="standardContextual"/>
        </w:rPr>
      </w:pPr>
      <w:r w:rsidRPr="00A82987">
        <w:rPr>
          <w:rFonts w:ascii="Times New Roman" w:eastAsia="SimSun" w:hAnsi="Times New Roman" w:cs="Times New Roman"/>
          <w:kern w:val="2"/>
          <w14:ligatures w14:val="standardContextual"/>
        </w:rPr>
        <w:t>Note 1: Specify requirements for the feature with the following example band combination: CA_n5A-n29A in this WI, with additional band combinations to be handled via the basket work item approach</w:t>
      </w:r>
    </w:p>
    <w:p w14:paraId="4110564C" w14:textId="7DB581E6" w:rsidR="00E265D0" w:rsidRPr="007C5C77" w:rsidRDefault="00E265D0" w:rsidP="00E265D0">
      <w:pPr>
        <w:spacing w:after="0" w:line="240" w:lineRule="auto"/>
        <w:rPr>
          <w:rFonts w:ascii="Times New Roman" w:eastAsia="Batang" w:hAnsi="Times New Roman" w:cs="Times New Roman"/>
          <w:sz w:val="22"/>
          <w:szCs w:val="22"/>
          <w:highlight w:val="green"/>
          <w:lang w:eastAsia="x-none"/>
        </w:rPr>
      </w:pPr>
      <w:r w:rsidRPr="007C5C77">
        <w:rPr>
          <w:rFonts w:ascii="Times New Roman" w:eastAsia="SimSun" w:hAnsi="Times New Roman" w:cs="Times New Roman"/>
          <w:sz w:val="22"/>
          <w:szCs w:val="22"/>
          <w:lang w:eastAsia="zh-CN"/>
        </w:rPr>
        <w:t>The following agreements have been reached in RAN1#120</w:t>
      </w:r>
      <w:r>
        <w:rPr>
          <w:rFonts w:ascii="Times New Roman" w:eastAsia="SimSun" w:hAnsi="Times New Roman" w:cs="Times New Roman"/>
          <w:sz w:val="22"/>
          <w:szCs w:val="22"/>
          <w:lang w:eastAsia="zh-CN"/>
        </w:rPr>
        <w:t>bis</w:t>
      </w:r>
      <w:r w:rsidRPr="007C5C77">
        <w:rPr>
          <w:rFonts w:ascii="Times New Roman" w:eastAsia="SimSun" w:hAnsi="Times New Roman" w:cs="Times New Roman"/>
          <w:sz w:val="22"/>
          <w:szCs w:val="22"/>
          <w:lang w:eastAsia="zh-CN"/>
        </w:rPr>
        <w:t xml:space="preserve"> [</w:t>
      </w:r>
      <w:r>
        <w:rPr>
          <w:rFonts w:ascii="Times New Roman" w:eastAsia="SimSun" w:hAnsi="Times New Roman" w:cs="Times New Roman"/>
          <w:sz w:val="22"/>
          <w:szCs w:val="22"/>
          <w:lang w:eastAsia="zh-CN"/>
        </w:rPr>
        <w:t>2</w:t>
      </w:r>
      <w:r w:rsidRPr="007C5C77">
        <w:rPr>
          <w:rFonts w:ascii="Times New Roman" w:eastAsia="SimSun" w:hAnsi="Times New Roman" w:cs="Times New Roman"/>
          <w:sz w:val="22"/>
          <w:szCs w:val="22"/>
          <w:lang w:eastAsia="zh-CN"/>
        </w:rPr>
        <w:t>]:</w:t>
      </w:r>
    </w:p>
    <w:p w14:paraId="43E0A057" w14:textId="77777777" w:rsidR="00E265D0" w:rsidRDefault="00E265D0" w:rsidP="00680030">
      <w:pPr>
        <w:spacing w:after="0" w:line="240" w:lineRule="auto"/>
        <w:rPr>
          <w:rFonts w:ascii="Times New Roman" w:eastAsia="DengXian" w:hAnsi="Times New Roman" w:cs="Times New Roman"/>
          <w:highlight w:val="green"/>
          <w:lang w:val="en-US" w:eastAsia="zh-CN"/>
        </w:rPr>
      </w:pPr>
    </w:p>
    <w:p w14:paraId="4EE864BD" w14:textId="77777777" w:rsidR="00E265D0" w:rsidRDefault="00E265D0" w:rsidP="00680030">
      <w:pPr>
        <w:spacing w:after="0" w:line="240" w:lineRule="auto"/>
        <w:rPr>
          <w:rFonts w:ascii="Times New Roman" w:eastAsia="DengXian" w:hAnsi="Times New Roman" w:cs="Times New Roman"/>
          <w:highlight w:val="green"/>
          <w:lang w:val="en-US" w:eastAsia="zh-CN"/>
        </w:rPr>
      </w:pPr>
    </w:p>
    <w:p w14:paraId="2A5B1BFC" w14:textId="1B741222" w:rsidR="00680030" w:rsidRPr="00680030" w:rsidRDefault="00680030" w:rsidP="00680030">
      <w:pPr>
        <w:spacing w:after="0" w:line="240" w:lineRule="auto"/>
        <w:rPr>
          <w:rFonts w:ascii="Times New Roman" w:eastAsia="DengXian" w:hAnsi="Times New Roman" w:cs="Times New Roman"/>
          <w:highlight w:val="green"/>
          <w:lang w:val="en-US" w:eastAsia="zh-CN"/>
        </w:rPr>
      </w:pPr>
      <w:r w:rsidRPr="00680030">
        <w:rPr>
          <w:rFonts w:ascii="Times New Roman" w:eastAsia="DengXian" w:hAnsi="Times New Roman" w:cs="Times New Roman"/>
          <w:highlight w:val="green"/>
          <w:lang w:val="en-US" w:eastAsia="zh-CN"/>
        </w:rPr>
        <w:t>Agreement</w:t>
      </w:r>
    </w:p>
    <w:p w14:paraId="044D62F3" w14:textId="77777777" w:rsidR="00680030" w:rsidRPr="00680030" w:rsidRDefault="00680030" w:rsidP="00680030">
      <w:pPr>
        <w:numPr>
          <w:ilvl w:val="0"/>
          <w:numId w:val="31"/>
        </w:numPr>
        <w:overflowPunct w:val="0"/>
        <w:autoSpaceDE w:val="0"/>
        <w:autoSpaceDN w:val="0"/>
        <w:adjustRightInd w:val="0"/>
        <w:spacing w:after="0" w:line="240" w:lineRule="auto"/>
        <w:contextualSpacing/>
        <w:rPr>
          <w:rFonts w:ascii="Times New Roman" w:eastAsia="SimSun" w:hAnsi="Times New Roman" w:cs="Times New Roman"/>
        </w:rPr>
      </w:pPr>
      <w:r w:rsidRPr="00680030">
        <w:rPr>
          <w:rFonts w:ascii="Times New Roman" w:eastAsia="SimSun" w:hAnsi="Times New Roman" w:cs="Times New Roman"/>
        </w:rPr>
        <w:t>For Rel-19 low NR band carrier aggregation via switching, support only semi-static configuration of switching pattern to a UE based on UE-specific RRC configuration between the following two cases,</w:t>
      </w:r>
    </w:p>
    <w:p w14:paraId="27D9BF6F" w14:textId="77777777" w:rsidR="00680030" w:rsidRPr="00680030" w:rsidRDefault="00680030" w:rsidP="00680030">
      <w:pPr>
        <w:numPr>
          <w:ilvl w:val="1"/>
          <w:numId w:val="31"/>
        </w:numPr>
        <w:overflowPunct w:val="0"/>
        <w:autoSpaceDE w:val="0"/>
        <w:autoSpaceDN w:val="0"/>
        <w:adjustRightInd w:val="0"/>
        <w:spacing w:after="0" w:line="240" w:lineRule="auto"/>
        <w:contextualSpacing/>
        <w:rPr>
          <w:rFonts w:ascii="Times New Roman" w:eastAsia="SimSun" w:hAnsi="Times New Roman" w:cs="Times New Roman"/>
          <w:lang w:eastAsia="x-none"/>
        </w:rPr>
      </w:pPr>
      <w:r w:rsidRPr="00680030">
        <w:rPr>
          <w:rFonts w:ascii="Times New Roman" w:eastAsia="SimSun" w:hAnsi="Times New Roman" w:cs="Times New Roman"/>
          <w:lang w:eastAsia="x-none"/>
        </w:rPr>
        <w:t>Case 1: Tx/Rx on FDD carrier 1 and no Rx on SDL carrier 2</w:t>
      </w:r>
    </w:p>
    <w:p w14:paraId="6791DB87" w14:textId="77777777" w:rsidR="00680030" w:rsidRPr="00680030" w:rsidRDefault="00680030" w:rsidP="00680030">
      <w:pPr>
        <w:numPr>
          <w:ilvl w:val="1"/>
          <w:numId w:val="31"/>
        </w:numPr>
        <w:overflowPunct w:val="0"/>
        <w:autoSpaceDE w:val="0"/>
        <w:autoSpaceDN w:val="0"/>
        <w:adjustRightInd w:val="0"/>
        <w:spacing w:after="0" w:line="240" w:lineRule="auto"/>
        <w:contextualSpacing/>
        <w:rPr>
          <w:rFonts w:ascii="Times New Roman" w:eastAsia="SimSun" w:hAnsi="Times New Roman" w:cs="Times New Roman"/>
          <w:lang w:eastAsia="x-none"/>
        </w:rPr>
      </w:pPr>
      <w:r w:rsidRPr="00680030">
        <w:rPr>
          <w:rFonts w:ascii="Times New Roman" w:eastAsia="SimSun" w:hAnsi="Times New Roman" w:cs="Times New Roman"/>
          <w:lang w:eastAsia="x-none"/>
        </w:rPr>
        <w:t>Case 2: Rx on SDL carrier 2 and no Tx/Rx on FDD carrier 1</w:t>
      </w:r>
    </w:p>
    <w:p w14:paraId="619FB633" w14:textId="77777777" w:rsidR="00680030" w:rsidRPr="00680030" w:rsidRDefault="00680030" w:rsidP="00680030">
      <w:pPr>
        <w:numPr>
          <w:ilvl w:val="0"/>
          <w:numId w:val="31"/>
        </w:numPr>
        <w:overflowPunct w:val="0"/>
        <w:autoSpaceDE w:val="0"/>
        <w:autoSpaceDN w:val="0"/>
        <w:adjustRightInd w:val="0"/>
        <w:spacing w:after="0" w:line="240" w:lineRule="auto"/>
        <w:contextualSpacing/>
        <w:rPr>
          <w:rFonts w:ascii="Times New Roman" w:eastAsia="SimSun" w:hAnsi="Times New Roman" w:cs="Times New Roman"/>
        </w:rPr>
      </w:pPr>
      <w:r w:rsidRPr="00680030">
        <w:rPr>
          <w:rFonts w:ascii="Times New Roman" w:eastAsia="SimSun" w:hAnsi="Times New Roman" w:cs="Times New Roman"/>
        </w:rPr>
        <w:t>FDD carrier 1 is PCell and SDL carrier 2 is SCell.</w:t>
      </w:r>
    </w:p>
    <w:p w14:paraId="471DB71E" w14:textId="77777777" w:rsidR="00680030" w:rsidRPr="00680030" w:rsidRDefault="00680030" w:rsidP="00680030">
      <w:pPr>
        <w:numPr>
          <w:ilvl w:val="0"/>
          <w:numId w:val="31"/>
        </w:numPr>
        <w:overflowPunct w:val="0"/>
        <w:autoSpaceDE w:val="0"/>
        <w:autoSpaceDN w:val="0"/>
        <w:adjustRightInd w:val="0"/>
        <w:spacing w:after="0" w:line="240" w:lineRule="auto"/>
        <w:contextualSpacing/>
        <w:rPr>
          <w:rFonts w:ascii="Times New Roman" w:eastAsia="SimSun" w:hAnsi="Times New Roman" w:cs="Times New Roman"/>
          <w:lang w:val="en-US" w:eastAsia="zh-CN"/>
        </w:rPr>
      </w:pPr>
      <w:r w:rsidRPr="00680030">
        <w:rPr>
          <w:rFonts w:ascii="Times New Roman" w:eastAsia="SimSun" w:hAnsi="Times New Roman" w:cs="Times New Roman"/>
          <w:lang w:val="en-US" w:eastAsia="zh-CN"/>
        </w:rPr>
        <w:t>SCS 15KHz on both carriers.</w:t>
      </w:r>
    </w:p>
    <w:p w14:paraId="5A06C5A6" w14:textId="77777777" w:rsidR="00680030" w:rsidRPr="00680030" w:rsidRDefault="00680030" w:rsidP="00680030">
      <w:pPr>
        <w:spacing w:after="0" w:line="240" w:lineRule="auto"/>
        <w:rPr>
          <w:rFonts w:ascii="Times New Roman" w:eastAsia="DengXian" w:hAnsi="Times New Roman" w:cs="Times New Roman"/>
          <w:highlight w:val="green"/>
          <w:lang w:val="en-US" w:eastAsia="zh-CN"/>
        </w:rPr>
      </w:pPr>
    </w:p>
    <w:p w14:paraId="50D963A5" w14:textId="77777777" w:rsidR="00680030" w:rsidRPr="00680030" w:rsidRDefault="00680030" w:rsidP="00680030">
      <w:pPr>
        <w:spacing w:after="0" w:line="240" w:lineRule="auto"/>
        <w:rPr>
          <w:rFonts w:ascii="Times New Roman" w:eastAsia="DengXian" w:hAnsi="Times New Roman" w:cs="Times New Roman"/>
          <w:highlight w:val="green"/>
          <w:lang w:val="en-US" w:eastAsia="zh-CN"/>
        </w:rPr>
      </w:pPr>
      <w:r w:rsidRPr="00680030">
        <w:rPr>
          <w:rFonts w:ascii="Times New Roman" w:eastAsia="DengXian" w:hAnsi="Times New Roman" w:cs="Times New Roman"/>
          <w:highlight w:val="green"/>
          <w:lang w:val="en-US" w:eastAsia="zh-CN"/>
        </w:rPr>
        <w:t>Agreement</w:t>
      </w:r>
    </w:p>
    <w:p w14:paraId="3ED091D3" w14:textId="77777777" w:rsidR="00680030" w:rsidRPr="00680030" w:rsidRDefault="00680030" w:rsidP="00680030">
      <w:pPr>
        <w:spacing w:after="0" w:line="240" w:lineRule="auto"/>
        <w:rPr>
          <w:rFonts w:ascii="Times New Roman" w:eastAsia="Batang" w:hAnsi="Times New Roman" w:cs="Times New Roman"/>
          <w:lang w:eastAsia="en-US"/>
        </w:rPr>
      </w:pPr>
      <w:r w:rsidRPr="00680030">
        <w:rPr>
          <w:rFonts w:ascii="Times New Roman" w:eastAsia="Batang" w:hAnsi="Times New Roman" w:cs="Times New Roman"/>
          <w:lang w:eastAsia="en-US"/>
        </w:rPr>
        <w:t>For RRC configuration of semi-static switching pattern in Rel-19 low NR band carrier aggregation via switching, it is not expected that the same slot (1ms) contains both symbol(s) configured as FDD carrier and symbol(s) configured as SDL carrier.</w:t>
      </w:r>
    </w:p>
    <w:p w14:paraId="6277202B" w14:textId="77777777" w:rsidR="00680030" w:rsidRPr="00680030" w:rsidRDefault="00680030" w:rsidP="00680030">
      <w:pPr>
        <w:spacing w:after="0" w:line="240" w:lineRule="auto"/>
        <w:rPr>
          <w:rFonts w:ascii="Times New Roman" w:eastAsia="DengXian" w:hAnsi="Times New Roman" w:cs="Times New Roman"/>
          <w:lang w:eastAsia="zh-CN"/>
        </w:rPr>
      </w:pPr>
    </w:p>
    <w:p w14:paraId="0F1A0DA1" w14:textId="77777777" w:rsidR="00680030" w:rsidRPr="00680030" w:rsidRDefault="00680030" w:rsidP="00680030">
      <w:pPr>
        <w:spacing w:after="0" w:line="240" w:lineRule="auto"/>
        <w:rPr>
          <w:rFonts w:ascii="Times New Roman" w:eastAsia="DengXian" w:hAnsi="Times New Roman" w:cs="Times New Roman"/>
          <w:highlight w:val="green"/>
          <w:lang w:val="en-US" w:eastAsia="zh-CN"/>
        </w:rPr>
      </w:pPr>
      <w:r w:rsidRPr="00680030">
        <w:rPr>
          <w:rFonts w:ascii="Times New Roman" w:eastAsia="DengXian" w:hAnsi="Times New Roman" w:cs="Times New Roman"/>
          <w:highlight w:val="green"/>
          <w:lang w:val="en-US" w:eastAsia="zh-CN"/>
        </w:rPr>
        <w:t>Agreement</w:t>
      </w:r>
    </w:p>
    <w:p w14:paraId="7589A490" w14:textId="77777777" w:rsidR="00680030" w:rsidRPr="00680030" w:rsidRDefault="00680030" w:rsidP="00680030">
      <w:pPr>
        <w:spacing w:after="0" w:line="240" w:lineRule="auto"/>
        <w:rPr>
          <w:rFonts w:ascii="Times New Roman" w:eastAsia="DengXian" w:hAnsi="Times New Roman" w:cs="Times New Roman"/>
          <w:lang w:eastAsia="zh-CN"/>
        </w:rPr>
      </w:pPr>
      <w:r w:rsidRPr="00680030">
        <w:rPr>
          <w:rFonts w:ascii="Times New Roman" w:eastAsia="Batang" w:hAnsi="Times New Roman" w:cs="Times New Roman"/>
          <w:lang w:eastAsia="en-US"/>
        </w:rPr>
        <w:t>For Rel-19 low NR band carrier aggregation via switching, the semi-static switching pattern and corresponding switching gap are based on the downlink timing (DL reception time at UE side) of Pcell</w:t>
      </w:r>
      <w:r w:rsidRPr="00680030">
        <w:rPr>
          <w:rFonts w:ascii="Times New Roman" w:eastAsia="DengXian" w:hAnsi="Times New Roman" w:cs="Times New Roman"/>
          <w:lang w:eastAsia="zh-CN"/>
        </w:rPr>
        <w:t>.</w:t>
      </w:r>
    </w:p>
    <w:p w14:paraId="3C7B28AA" w14:textId="77777777" w:rsidR="00680030" w:rsidRPr="00680030" w:rsidRDefault="00680030" w:rsidP="00680030">
      <w:pPr>
        <w:spacing w:after="0" w:line="240" w:lineRule="auto"/>
        <w:rPr>
          <w:rFonts w:ascii="Times New Roman" w:eastAsia="DengXian" w:hAnsi="Times New Roman" w:cs="Times New Roman"/>
          <w:lang w:eastAsia="zh-CN"/>
        </w:rPr>
      </w:pPr>
    </w:p>
    <w:p w14:paraId="5BD3E171" w14:textId="77777777" w:rsidR="00680030" w:rsidRPr="00680030" w:rsidRDefault="00680030" w:rsidP="00680030">
      <w:pPr>
        <w:spacing w:after="0" w:line="240" w:lineRule="auto"/>
        <w:rPr>
          <w:rFonts w:ascii="Times New Roman" w:eastAsia="DengXian" w:hAnsi="Times New Roman" w:cs="Times New Roman"/>
          <w:highlight w:val="green"/>
          <w:lang w:eastAsia="zh-CN"/>
        </w:rPr>
      </w:pPr>
      <w:r w:rsidRPr="00680030">
        <w:rPr>
          <w:rFonts w:ascii="Times New Roman" w:eastAsia="DengXian" w:hAnsi="Times New Roman" w:cs="Times New Roman"/>
          <w:highlight w:val="green"/>
          <w:lang w:eastAsia="zh-CN"/>
        </w:rPr>
        <w:t>Agreement</w:t>
      </w:r>
    </w:p>
    <w:p w14:paraId="6A7C842A" w14:textId="77777777" w:rsidR="00680030" w:rsidRPr="00680030" w:rsidRDefault="00680030" w:rsidP="00680030">
      <w:pPr>
        <w:spacing w:after="0" w:line="240" w:lineRule="auto"/>
        <w:jc w:val="both"/>
        <w:rPr>
          <w:rFonts w:ascii="Times New Roman" w:eastAsia="Batang" w:hAnsi="Times New Roman" w:cs="Times New Roman"/>
          <w:lang w:eastAsia="x-none"/>
        </w:rPr>
      </w:pPr>
      <w:r w:rsidRPr="00680030">
        <w:rPr>
          <w:rFonts w:ascii="Times New Roman" w:eastAsia="Batang" w:hAnsi="Times New Roman" w:cs="Times New Roman"/>
          <w:lang w:eastAsia="x-none"/>
        </w:rPr>
        <w:t>For RRC configuration of semi-static switching pattern in Rel-19 low NR band carrier aggregation via switching, the time unit (resolution) of the semi-static switching pattern configuration is slot (1ms for 15kHz SCS).</w:t>
      </w:r>
    </w:p>
    <w:p w14:paraId="45E73079" w14:textId="77777777" w:rsidR="00680030" w:rsidRPr="00680030" w:rsidRDefault="00680030" w:rsidP="00680030">
      <w:pPr>
        <w:spacing w:after="0" w:line="240" w:lineRule="auto"/>
        <w:jc w:val="both"/>
        <w:rPr>
          <w:rFonts w:ascii="Times New Roman" w:eastAsia="Batang" w:hAnsi="Times New Roman" w:cs="Times New Roman"/>
          <w:lang w:eastAsia="x-none"/>
        </w:rPr>
      </w:pPr>
    </w:p>
    <w:p w14:paraId="71199B9E" w14:textId="77777777" w:rsidR="003054FC" w:rsidRPr="003054FC" w:rsidRDefault="003054FC" w:rsidP="003054FC">
      <w:pPr>
        <w:spacing w:after="0" w:line="240" w:lineRule="auto"/>
        <w:rPr>
          <w:rFonts w:ascii="Times New Roman" w:eastAsia="DengXian" w:hAnsi="Times New Roman" w:cs="Times New Roman"/>
          <w:highlight w:val="green"/>
          <w:lang w:eastAsia="zh-CN"/>
        </w:rPr>
      </w:pPr>
      <w:r w:rsidRPr="003054FC">
        <w:rPr>
          <w:rFonts w:ascii="Times New Roman" w:eastAsia="DengXian" w:hAnsi="Times New Roman" w:cs="Times New Roman"/>
          <w:highlight w:val="green"/>
          <w:lang w:eastAsia="zh-CN"/>
        </w:rPr>
        <w:t>Agreement</w:t>
      </w:r>
    </w:p>
    <w:p w14:paraId="7E73FD6C" w14:textId="77777777" w:rsidR="003054FC" w:rsidRPr="003054FC" w:rsidRDefault="003054FC" w:rsidP="003054FC">
      <w:pPr>
        <w:numPr>
          <w:ilvl w:val="0"/>
          <w:numId w:val="32"/>
        </w:numPr>
        <w:spacing w:after="0" w:line="240" w:lineRule="auto"/>
        <w:rPr>
          <w:rFonts w:ascii="Times New Roman" w:eastAsia="Batang" w:hAnsi="Times New Roman" w:cs="Times New Roman"/>
          <w:lang w:eastAsia="x-none"/>
        </w:rPr>
      </w:pPr>
      <w:r w:rsidRPr="003054FC">
        <w:rPr>
          <w:rFonts w:ascii="Times New Roman" w:eastAsia="Batang" w:hAnsi="Times New Roman" w:cs="Times New Roman"/>
          <w:lang w:eastAsia="x-none"/>
        </w:rPr>
        <w:t>For RRC configuration of semi-static switching pattern in Rel-19 low NR band carrier aggregation via switching, support bitmap design</w:t>
      </w:r>
    </w:p>
    <w:p w14:paraId="42CE2746" w14:textId="77777777" w:rsidR="003054FC" w:rsidRPr="003054FC" w:rsidRDefault="003054FC" w:rsidP="003054FC">
      <w:pPr>
        <w:numPr>
          <w:ilvl w:val="1"/>
          <w:numId w:val="32"/>
        </w:numPr>
        <w:spacing w:after="0" w:line="240" w:lineRule="auto"/>
        <w:rPr>
          <w:rFonts w:ascii="Times New Roman" w:eastAsia="Batang" w:hAnsi="Times New Roman" w:cs="Times New Roman"/>
          <w:lang w:eastAsia="x-none"/>
        </w:rPr>
      </w:pPr>
      <w:r w:rsidRPr="003054FC">
        <w:rPr>
          <w:rFonts w:ascii="Times New Roman" w:eastAsia="Batang" w:hAnsi="Times New Roman" w:cs="Times New Roman"/>
          <w:lang w:eastAsia="x-none"/>
        </w:rPr>
        <w:t xml:space="preserve">NW configures a periodicity, denoted as </w:t>
      </w:r>
      <m:oMath>
        <m:r>
          <m:rPr>
            <m:sty m:val="p"/>
          </m:rPr>
          <w:rPr>
            <w:rFonts w:ascii="Cambria Math" w:eastAsia="Batang" w:hAnsi="Cambria Math" w:cs="Times New Roman"/>
            <w:lang w:eastAsia="en-US"/>
          </w:rPr>
          <m:t>P</m:t>
        </m:r>
      </m:oMath>
      <w:r w:rsidRPr="003054FC">
        <w:rPr>
          <w:rFonts w:ascii="Times New Roman" w:eastAsia="Batang" w:hAnsi="Times New Roman" w:cs="Times New Roman"/>
          <w:lang w:eastAsia="x-none"/>
        </w:rPr>
        <w:t xml:space="preserve"> slots, and a bitmap of P bits. Each bit in the bitmap indicates which carrier is configured for the corresponding slot, ‘0’ indicates FDD carrier 1, and ‘1’ </w:t>
      </w:r>
      <w:r w:rsidRPr="003054FC">
        <w:rPr>
          <w:rFonts w:ascii="Times New Roman" w:eastAsia="Batang" w:hAnsi="Times New Roman" w:cs="Times New Roman"/>
          <w:color w:val="000000"/>
          <w:lang w:eastAsia="x-none"/>
        </w:rPr>
        <w:t>indicates SDL carrier 2.</w:t>
      </w:r>
    </w:p>
    <w:p w14:paraId="79C578D3" w14:textId="77777777" w:rsidR="003054FC" w:rsidRPr="003054FC" w:rsidRDefault="003054FC" w:rsidP="003054FC">
      <w:pPr>
        <w:numPr>
          <w:ilvl w:val="1"/>
          <w:numId w:val="32"/>
        </w:numPr>
        <w:spacing w:after="0" w:line="240" w:lineRule="auto"/>
        <w:rPr>
          <w:rFonts w:ascii="Times New Roman" w:eastAsia="Batang" w:hAnsi="Times New Roman" w:cs="Times New Roman"/>
          <w:color w:val="000000"/>
          <w:lang w:eastAsia="x-none"/>
        </w:rPr>
      </w:pPr>
      <w:r w:rsidRPr="003054FC">
        <w:rPr>
          <w:rFonts w:ascii="Times New Roman" w:eastAsia="Batang" w:hAnsi="Times New Roman" w:cs="Times New Roman"/>
          <w:color w:val="000000"/>
          <w:lang w:eastAsia="x-none"/>
        </w:rPr>
        <w:t>The pattern starts from the beginning of SFN 0 of PCell.</w:t>
      </w:r>
    </w:p>
    <w:p w14:paraId="27B93309" w14:textId="77777777" w:rsidR="003054FC" w:rsidRPr="003054FC" w:rsidRDefault="003054FC" w:rsidP="003054FC">
      <w:pPr>
        <w:numPr>
          <w:ilvl w:val="0"/>
          <w:numId w:val="32"/>
        </w:numPr>
        <w:spacing w:after="0" w:line="240" w:lineRule="auto"/>
        <w:rPr>
          <w:rFonts w:ascii="Times New Roman" w:eastAsia="Batang" w:hAnsi="Times New Roman" w:cs="Times New Roman"/>
          <w:color w:val="000000"/>
          <w:lang w:eastAsia="x-none"/>
        </w:rPr>
      </w:pPr>
      <w:r w:rsidRPr="003054FC">
        <w:rPr>
          <w:rFonts w:ascii="Times New Roman" w:eastAsia="Batang" w:hAnsi="Times New Roman" w:cs="Times New Roman"/>
          <w:color w:val="000000"/>
          <w:lang w:eastAsia="x-none"/>
        </w:rPr>
        <w:t>Restriction of maximum X switch(es) within Y slot(s).</w:t>
      </w:r>
    </w:p>
    <w:p w14:paraId="06E7A7D4" w14:textId="77777777" w:rsidR="003054FC" w:rsidRPr="003054FC" w:rsidRDefault="003054FC" w:rsidP="003054FC">
      <w:pPr>
        <w:numPr>
          <w:ilvl w:val="1"/>
          <w:numId w:val="32"/>
        </w:numPr>
        <w:spacing w:after="0" w:line="240" w:lineRule="auto"/>
        <w:rPr>
          <w:rFonts w:ascii="Times New Roman" w:eastAsia="Batang" w:hAnsi="Times New Roman" w:cs="Times New Roman"/>
          <w:color w:val="000000"/>
          <w:lang w:eastAsia="x-none"/>
        </w:rPr>
      </w:pPr>
      <w:r w:rsidRPr="003054FC">
        <w:rPr>
          <w:rFonts w:ascii="Times New Roman" w:eastAsia="Batang" w:hAnsi="Times New Roman" w:cs="Times New Roman"/>
          <w:color w:val="000000"/>
          <w:lang w:eastAsia="x-none"/>
        </w:rPr>
        <w:t>FFS: detailed value and relation of X and Y.</w:t>
      </w:r>
    </w:p>
    <w:p w14:paraId="001E3567" w14:textId="77777777" w:rsidR="003054FC" w:rsidRPr="003054FC" w:rsidRDefault="003054FC" w:rsidP="003054FC">
      <w:pPr>
        <w:numPr>
          <w:ilvl w:val="0"/>
          <w:numId w:val="32"/>
        </w:numPr>
        <w:spacing w:after="0" w:line="240" w:lineRule="auto"/>
        <w:rPr>
          <w:rFonts w:ascii="Times New Roman" w:eastAsia="Batang" w:hAnsi="Times New Roman" w:cs="Times New Roman"/>
          <w:color w:val="000000"/>
          <w:lang w:eastAsia="x-none"/>
        </w:rPr>
      </w:pPr>
      <w:r w:rsidRPr="003054FC">
        <w:rPr>
          <w:rFonts w:ascii="Times New Roman" w:eastAsia="Batang" w:hAnsi="Times New Roman" w:cs="Times New Roman"/>
          <w:color w:val="000000"/>
          <w:lang w:eastAsia="x-none"/>
        </w:rPr>
        <w:t>FFS: other restriction.</w:t>
      </w:r>
    </w:p>
    <w:p w14:paraId="21F36B8A" w14:textId="77777777" w:rsidR="003054FC" w:rsidRPr="003054FC" w:rsidRDefault="003054FC" w:rsidP="003054FC">
      <w:pPr>
        <w:spacing w:after="0" w:line="240" w:lineRule="auto"/>
        <w:rPr>
          <w:rFonts w:ascii="Times New Roman" w:eastAsia="DengXian" w:hAnsi="Times New Roman" w:cs="Times New Roman"/>
          <w:lang w:eastAsia="zh-CN"/>
        </w:rPr>
      </w:pPr>
    </w:p>
    <w:p w14:paraId="12714CAD" w14:textId="77777777" w:rsidR="003054FC" w:rsidRPr="003054FC" w:rsidRDefault="003054FC" w:rsidP="003054FC">
      <w:pPr>
        <w:spacing w:after="0" w:line="240" w:lineRule="auto"/>
        <w:rPr>
          <w:rFonts w:ascii="Times New Roman" w:eastAsia="DengXian" w:hAnsi="Times New Roman" w:cs="Times New Roman"/>
          <w:highlight w:val="green"/>
          <w:lang w:eastAsia="zh-CN"/>
        </w:rPr>
      </w:pPr>
      <w:r w:rsidRPr="003054FC">
        <w:rPr>
          <w:rFonts w:ascii="Times New Roman" w:eastAsia="DengXian" w:hAnsi="Times New Roman" w:cs="Times New Roman"/>
          <w:highlight w:val="green"/>
          <w:lang w:eastAsia="zh-CN"/>
        </w:rPr>
        <w:t>Agreement</w:t>
      </w:r>
    </w:p>
    <w:p w14:paraId="1F974BE9" w14:textId="77777777" w:rsidR="003054FC" w:rsidRPr="003054FC" w:rsidRDefault="003054FC" w:rsidP="003054FC">
      <w:pPr>
        <w:spacing w:after="0" w:line="240" w:lineRule="auto"/>
        <w:rPr>
          <w:rFonts w:ascii="Times New Roman" w:eastAsia="Batang" w:hAnsi="Times New Roman" w:cs="Times New Roman"/>
          <w:color w:val="000000"/>
          <w:lang w:eastAsia="en-US"/>
        </w:rPr>
      </w:pPr>
      <w:r w:rsidRPr="003054FC">
        <w:rPr>
          <w:rFonts w:ascii="Times New Roman" w:eastAsia="Batang" w:hAnsi="Times New Roman" w:cs="Times New Roman"/>
          <w:color w:val="000000"/>
          <w:lang w:eastAsia="en-US"/>
        </w:rPr>
        <w:t xml:space="preserve">For RRC configuration of semi-static switching pattern in Rel-19 low NR band carrier aggregation via switching, regarding the location of the switching gap, </w:t>
      </w:r>
    </w:p>
    <w:p w14:paraId="0A47F2EE" w14:textId="77777777" w:rsidR="003054FC" w:rsidRPr="003054FC" w:rsidRDefault="003054FC" w:rsidP="003054FC">
      <w:pPr>
        <w:numPr>
          <w:ilvl w:val="0"/>
          <w:numId w:val="33"/>
        </w:numPr>
        <w:spacing w:after="0" w:line="240" w:lineRule="auto"/>
        <w:jc w:val="both"/>
        <w:rPr>
          <w:rFonts w:ascii="Times New Roman" w:eastAsia="Batang" w:hAnsi="Times New Roman" w:cs="Times New Roman"/>
          <w:color w:val="000000"/>
          <w:lang w:val="en-US" w:eastAsia="zh-CN"/>
        </w:rPr>
      </w:pPr>
      <w:r w:rsidRPr="003054FC">
        <w:rPr>
          <w:rFonts w:ascii="Times New Roman" w:eastAsia="Batang" w:hAnsi="Times New Roman" w:cs="Times New Roman"/>
          <w:color w:val="000000"/>
          <w:lang w:val="en-US" w:eastAsia="zh-CN"/>
        </w:rPr>
        <w:t>For switching from SDL carrier to FDD carrier, the switching gap is always assumed at the “switch from” carrier, i.e., SDL carrier.</w:t>
      </w:r>
    </w:p>
    <w:p w14:paraId="053F3A4E" w14:textId="77777777" w:rsidR="003054FC" w:rsidRPr="003054FC" w:rsidRDefault="003054FC" w:rsidP="003054FC">
      <w:pPr>
        <w:numPr>
          <w:ilvl w:val="0"/>
          <w:numId w:val="33"/>
        </w:numPr>
        <w:spacing w:after="0" w:line="240" w:lineRule="auto"/>
        <w:jc w:val="both"/>
        <w:rPr>
          <w:rFonts w:ascii="Times New Roman" w:eastAsia="Batang" w:hAnsi="Times New Roman" w:cs="Times New Roman"/>
          <w:color w:val="000000"/>
          <w:lang w:val="en-US" w:eastAsia="zh-CN"/>
        </w:rPr>
      </w:pPr>
      <w:r w:rsidRPr="003054FC">
        <w:rPr>
          <w:rFonts w:ascii="Times New Roman" w:eastAsia="Batang" w:hAnsi="Times New Roman" w:cs="Times New Roman"/>
          <w:color w:val="000000"/>
          <w:lang w:eastAsia="x-none"/>
        </w:rPr>
        <w:t>For switching from FDD carrier to SDL carrier, down-select one of the following solutions:</w:t>
      </w:r>
    </w:p>
    <w:p w14:paraId="65AC6B65" w14:textId="77777777" w:rsidR="003054FC" w:rsidRPr="003054FC" w:rsidRDefault="003054FC" w:rsidP="003054FC">
      <w:pPr>
        <w:numPr>
          <w:ilvl w:val="1"/>
          <w:numId w:val="33"/>
        </w:numPr>
        <w:spacing w:after="0" w:line="240" w:lineRule="auto"/>
        <w:jc w:val="both"/>
        <w:rPr>
          <w:rFonts w:ascii="Times New Roman" w:eastAsia="Batang" w:hAnsi="Times New Roman" w:cs="Times New Roman"/>
          <w:color w:val="000000"/>
          <w:lang w:val="en-US" w:eastAsia="zh-CN"/>
        </w:rPr>
      </w:pPr>
      <w:r w:rsidRPr="003054FC">
        <w:rPr>
          <w:rFonts w:ascii="Times New Roman" w:eastAsia="Batang" w:hAnsi="Times New Roman" w:cs="Times New Roman"/>
          <w:color w:val="000000"/>
          <w:lang w:eastAsia="x-none"/>
        </w:rPr>
        <w:t>Alt 1: Switching gap is always assumed at the “switch from” carrier, i.e., FDD carrier.</w:t>
      </w:r>
    </w:p>
    <w:p w14:paraId="22A0F036" w14:textId="77777777" w:rsidR="003054FC" w:rsidRPr="003054FC" w:rsidRDefault="003054FC" w:rsidP="003054FC">
      <w:pPr>
        <w:numPr>
          <w:ilvl w:val="1"/>
          <w:numId w:val="33"/>
        </w:numPr>
        <w:spacing w:after="0" w:line="240" w:lineRule="auto"/>
        <w:jc w:val="both"/>
        <w:rPr>
          <w:rFonts w:ascii="Times New Roman" w:eastAsia="Batang" w:hAnsi="Times New Roman" w:cs="Times New Roman"/>
          <w:color w:val="000000"/>
          <w:lang w:val="en-US" w:eastAsia="zh-CN"/>
        </w:rPr>
      </w:pPr>
      <w:r w:rsidRPr="003054FC">
        <w:rPr>
          <w:rFonts w:ascii="Times New Roman" w:eastAsia="Batang" w:hAnsi="Times New Roman" w:cs="Times New Roman"/>
          <w:color w:val="000000"/>
          <w:lang w:eastAsia="x-none"/>
        </w:rPr>
        <w:t>Alt 2: NW configures whether the switching gap is at the FDD carrier or SDL carrier.</w:t>
      </w:r>
    </w:p>
    <w:p w14:paraId="132C1E63" w14:textId="77777777" w:rsidR="003054FC" w:rsidRPr="003054FC" w:rsidRDefault="003054FC" w:rsidP="003054FC">
      <w:pPr>
        <w:numPr>
          <w:ilvl w:val="1"/>
          <w:numId w:val="33"/>
        </w:numPr>
        <w:spacing w:after="0" w:line="240" w:lineRule="auto"/>
        <w:jc w:val="both"/>
        <w:rPr>
          <w:rFonts w:ascii="Times New Roman" w:eastAsia="Batang" w:hAnsi="Times New Roman" w:cs="Times New Roman"/>
          <w:color w:val="000000"/>
          <w:lang w:val="en-US" w:eastAsia="zh-CN"/>
        </w:rPr>
      </w:pPr>
      <w:r w:rsidRPr="003054FC">
        <w:rPr>
          <w:rFonts w:ascii="Times New Roman" w:eastAsia="Batang" w:hAnsi="Times New Roman" w:cs="Times New Roman"/>
          <w:color w:val="000000"/>
          <w:lang w:eastAsia="x-none"/>
        </w:rPr>
        <w:t>Alt 3: Switching gap is always assumed at the SDL carrier.</w:t>
      </w:r>
    </w:p>
    <w:p w14:paraId="1E967C7B" w14:textId="77777777" w:rsidR="003054FC" w:rsidRPr="003054FC" w:rsidRDefault="003054FC" w:rsidP="003054FC">
      <w:pPr>
        <w:spacing w:after="0" w:line="240" w:lineRule="auto"/>
        <w:jc w:val="both"/>
        <w:rPr>
          <w:rFonts w:ascii="Times New Roman" w:eastAsia="Batang" w:hAnsi="Times New Roman" w:cs="Times New Roman"/>
          <w:color w:val="000000"/>
          <w:lang w:val="en-US" w:eastAsia="zh-CN"/>
        </w:rPr>
      </w:pPr>
    </w:p>
    <w:p w14:paraId="0E323D39" w14:textId="77777777" w:rsidR="003054FC" w:rsidRPr="003054FC" w:rsidRDefault="003054FC" w:rsidP="003054FC">
      <w:pPr>
        <w:spacing w:after="0" w:line="240" w:lineRule="auto"/>
        <w:rPr>
          <w:rFonts w:ascii="Times New Roman" w:eastAsia="DengXian" w:hAnsi="Times New Roman" w:cs="Times New Roman"/>
          <w:highlight w:val="green"/>
          <w:lang w:eastAsia="zh-CN"/>
        </w:rPr>
      </w:pPr>
      <w:r w:rsidRPr="003054FC">
        <w:rPr>
          <w:rFonts w:ascii="Times New Roman" w:eastAsia="DengXian" w:hAnsi="Times New Roman" w:cs="Times New Roman"/>
          <w:highlight w:val="green"/>
          <w:lang w:eastAsia="zh-CN"/>
        </w:rPr>
        <w:t>Agreement</w:t>
      </w:r>
    </w:p>
    <w:p w14:paraId="38637293" w14:textId="77777777" w:rsidR="003054FC" w:rsidRPr="003054FC" w:rsidRDefault="003054FC" w:rsidP="003054FC">
      <w:pPr>
        <w:spacing w:after="0" w:line="240" w:lineRule="auto"/>
        <w:rPr>
          <w:rFonts w:ascii="Times New Roman" w:eastAsia="Batang" w:hAnsi="Times New Roman" w:cs="Times New Roman"/>
          <w:lang w:eastAsia="en-US"/>
        </w:rPr>
      </w:pPr>
      <w:r w:rsidRPr="003054FC">
        <w:rPr>
          <w:rFonts w:ascii="Times New Roman" w:eastAsia="Batang" w:hAnsi="Times New Roman" w:cs="Times New Roman"/>
          <w:lang w:eastAsia="en-US"/>
        </w:rPr>
        <w:lastRenderedPageBreak/>
        <w:t>For RRC configuration of semi-static switching pattern in Rel-19 low NR band carrier aggregation via switching, semi-static switching pattern is periodic with periodicity of P slots (ms), support P= 40 ms.</w:t>
      </w:r>
    </w:p>
    <w:p w14:paraId="5A2F3416" w14:textId="77777777" w:rsidR="003054FC" w:rsidRPr="003054FC" w:rsidRDefault="003054FC" w:rsidP="003054FC">
      <w:pPr>
        <w:spacing w:after="0" w:line="240" w:lineRule="auto"/>
        <w:rPr>
          <w:rFonts w:ascii="Times New Roman" w:eastAsia="DengXian" w:hAnsi="Times New Roman" w:cs="Times New Roman"/>
          <w:lang w:eastAsia="zh-CN"/>
        </w:rPr>
      </w:pPr>
    </w:p>
    <w:p w14:paraId="5FEE2328" w14:textId="77777777" w:rsidR="003054FC" w:rsidRPr="003054FC" w:rsidRDefault="003054FC" w:rsidP="003054FC">
      <w:pPr>
        <w:spacing w:after="0" w:line="240" w:lineRule="auto"/>
        <w:rPr>
          <w:rFonts w:ascii="Times New Roman" w:eastAsia="DengXian" w:hAnsi="Times New Roman" w:cs="Times New Roman"/>
          <w:highlight w:val="green"/>
          <w:lang w:eastAsia="zh-CN"/>
        </w:rPr>
      </w:pPr>
      <w:r w:rsidRPr="003054FC">
        <w:rPr>
          <w:rFonts w:ascii="Times New Roman" w:eastAsia="DengXian" w:hAnsi="Times New Roman" w:cs="Times New Roman"/>
          <w:highlight w:val="green"/>
          <w:lang w:eastAsia="zh-CN"/>
        </w:rPr>
        <w:t>Agreement</w:t>
      </w:r>
    </w:p>
    <w:p w14:paraId="4DC79657" w14:textId="77777777" w:rsidR="003054FC" w:rsidRPr="003054FC" w:rsidRDefault="003054FC" w:rsidP="003054FC">
      <w:pPr>
        <w:spacing w:after="0" w:line="240" w:lineRule="auto"/>
        <w:rPr>
          <w:rFonts w:ascii="Times New Roman" w:eastAsia="DengXian" w:hAnsi="Times New Roman" w:cs="Times New Roman"/>
          <w:color w:val="000000"/>
          <w:lang w:eastAsia="zh-CN"/>
        </w:rPr>
      </w:pPr>
      <w:r w:rsidRPr="003054FC">
        <w:rPr>
          <w:rFonts w:ascii="Times New Roman" w:eastAsia="Batang" w:hAnsi="Times New Roman" w:cs="Times New Roman"/>
          <w:color w:val="000000"/>
          <w:lang w:eastAsia="en-US"/>
        </w:rPr>
        <w:t>For RRC configuration of semi-static switching pattern in Rel-19 low NR band carrier aggregation via switching, the duration of the switching gap is RRC configured by the NW</w:t>
      </w:r>
      <w:r w:rsidRPr="003054FC">
        <w:rPr>
          <w:rFonts w:ascii="Times New Roman" w:eastAsia="DengXian" w:hAnsi="Times New Roman" w:cs="Times New Roman"/>
          <w:color w:val="000000"/>
          <w:lang w:eastAsia="zh-CN"/>
        </w:rPr>
        <w:t>,</w:t>
      </w:r>
    </w:p>
    <w:p w14:paraId="7CDF5527" w14:textId="77777777" w:rsidR="003054FC" w:rsidRPr="003054FC" w:rsidRDefault="003054FC" w:rsidP="003054FC">
      <w:pPr>
        <w:numPr>
          <w:ilvl w:val="0"/>
          <w:numId w:val="34"/>
        </w:numPr>
        <w:spacing w:after="0" w:line="240" w:lineRule="auto"/>
        <w:rPr>
          <w:rFonts w:ascii="Times New Roman" w:eastAsia="Batang" w:hAnsi="Times New Roman" w:cs="Times New Roman"/>
          <w:color w:val="000000"/>
          <w:lang w:eastAsia="x-none"/>
        </w:rPr>
      </w:pPr>
      <w:r w:rsidRPr="003054FC">
        <w:rPr>
          <w:rFonts w:ascii="Times New Roman" w:eastAsia="DengXian" w:hAnsi="Times New Roman" w:cs="Times New Roman"/>
          <w:color w:val="000000"/>
          <w:lang w:eastAsia="zh-CN"/>
        </w:rPr>
        <w:t>S</w:t>
      </w:r>
      <w:r w:rsidRPr="003054FC">
        <w:rPr>
          <w:rFonts w:ascii="Times New Roman" w:eastAsia="Batang" w:hAnsi="Times New Roman" w:cs="Times New Roman"/>
          <w:color w:val="000000"/>
          <w:lang w:eastAsia="x-none"/>
        </w:rPr>
        <w:t>witching gap duration can be different for FDD to SDL switch, and SDL to FDD switch.</w:t>
      </w:r>
    </w:p>
    <w:p w14:paraId="1ED2B94C" w14:textId="77777777" w:rsidR="003054FC" w:rsidRPr="003054FC" w:rsidRDefault="003054FC" w:rsidP="003054FC">
      <w:pPr>
        <w:numPr>
          <w:ilvl w:val="0"/>
          <w:numId w:val="34"/>
        </w:numPr>
        <w:spacing w:after="0" w:line="240" w:lineRule="auto"/>
        <w:rPr>
          <w:rFonts w:ascii="Times New Roman" w:eastAsia="Batang" w:hAnsi="Times New Roman" w:cs="Times New Roman"/>
          <w:strike/>
          <w:color w:val="000000"/>
          <w:lang w:eastAsia="x-none"/>
        </w:rPr>
      </w:pPr>
      <w:r w:rsidRPr="003054FC">
        <w:rPr>
          <w:rFonts w:ascii="Times New Roman" w:eastAsia="Batang" w:hAnsi="Times New Roman" w:cs="Times New Roman"/>
          <w:color w:val="000000"/>
          <w:lang w:eastAsia="x-none"/>
        </w:rPr>
        <w:t>Note: NW ensures that the switching gap is enough to cover at least the switching period as in RAN4 LS (</w:t>
      </w:r>
      <w:hyperlink r:id="rId8" w:history="1">
        <w:r w:rsidRPr="003054FC">
          <w:rPr>
            <w:rFonts w:ascii="Times New Roman" w:eastAsia="Batang" w:hAnsi="Times New Roman" w:cs="Times New Roman"/>
            <w:color w:val="0000FF"/>
            <w:u w:val="single"/>
            <w:lang w:eastAsia="x-none"/>
          </w:rPr>
          <w:t>R1-2501702</w:t>
        </w:r>
      </w:hyperlink>
      <w:r w:rsidRPr="003054FC">
        <w:rPr>
          <w:rFonts w:ascii="Times New Roman" w:eastAsia="Batang" w:hAnsi="Times New Roman" w:cs="Times New Roman"/>
          <w:color w:val="000000"/>
          <w:lang w:eastAsia="x-none"/>
        </w:rPr>
        <w:t xml:space="preserve">) </w:t>
      </w:r>
      <w:r w:rsidRPr="003054FC">
        <w:rPr>
          <w:rFonts w:ascii="Times New Roman" w:eastAsia="DengXian" w:hAnsi="Times New Roman" w:cs="Times New Roman"/>
          <w:color w:val="000000"/>
          <w:lang w:eastAsia="zh-CN"/>
        </w:rPr>
        <w:t>and UL TA (if needed).</w:t>
      </w:r>
    </w:p>
    <w:p w14:paraId="151B6377" w14:textId="77777777" w:rsidR="003054FC" w:rsidRPr="003054FC" w:rsidRDefault="003054FC" w:rsidP="003054FC">
      <w:pPr>
        <w:numPr>
          <w:ilvl w:val="1"/>
          <w:numId w:val="34"/>
        </w:numPr>
        <w:spacing w:after="0" w:line="240" w:lineRule="auto"/>
        <w:jc w:val="both"/>
        <w:rPr>
          <w:rFonts w:ascii="Times New Roman" w:eastAsia="Batang" w:hAnsi="Times New Roman" w:cs="Times New Roman"/>
          <w:color w:val="000000"/>
          <w:lang w:eastAsia="x-none"/>
        </w:rPr>
      </w:pPr>
      <w:r w:rsidRPr="003054FC">
        <w:rPr>
          <w:rFonts w:ascii="Times New Roman" w:eastAsia="Batang" w:hAnsi="Times New Roman" w:cs="Times New Roman"/>
          <w:color w:val="000000"/>
          <w:lang w:val="en-US" w:eastAsia="zh-CN"/>
        </w:rPr>
        <w:t xml:space="preserve">For the UL TA, </w:t>
      </w:r>
    </w:p>
    <w:p w14:paraId="56C39150" w14:textId="77777777" w:rsidR="003054FC" w:rsidRPr="003054FC" w:rsidRDefault="003054FC" w:rsidP="003054FC">
      <w:pPr>
        <w:numPr>
          <w:ilvl w:val="2"/>
          <w:numId w:val="34"/>
        </w:numPr>
        <w:spacing w:after="0" w:line="240" w:lineRule="auto"/>
        <w:jc w:val="both"/>
        <w:rPr>
          <w:rFonts w:ascii="Times New Roman" w:eastAsia="Batang" w:hAnsi="Times New Roman" w:cs="Times New Roman"/>
          <w:color w:val="000000"/>
          <w:lang w:eastAsia="x-none"/>
        </w:rPr>
      </w:pPr>
      <w:r w:rsidRPr="003054FC">
        <w:rPr>
          <w:rFonts w:ascii="Times New Roman" w:eastAsia="DengXian" w:hAnsi="Times New Roman" w:cs="Times New Roman"/>
          <w:color w:val="000000"/>
          <w:lang w:eastAsia="zh-CN"/>
        </w:rPr>
        <w:t>S</w:t>
      </w:r>
      <w:r w:rsidRPr="003054FC">
        <w:rPr>
          <w:rFonts w:ascii="Times New Roman" w:eastAsia="Batang" w:hAnsi="Times New Roman" w:cs="Times New Roman"/>
          <w:color w:val="000000"/>
          <w:lang w:eastAsia="x-none"/>
        </w:rPr>
        <w:t>witching gap for</w:t>
      </w:r>
      <w:r w:rsidRPr="003054FC">
        <w:rPr>
          <w:rFonts w:ascii="Times New Roman" w:eastAsia="Batang" w:hAnsi="Times New Roman" w:cs="Times New Roman"/>
          <w:color w:val="000000"/>
          <w:lang w:val="en-US" w:eastAsia="x-none"/>
        </w:rPr>
        <w:t xml:space="preserve"> </w:t>
      </w:r>
      <w:r w:rsidRPr="003054FC">
        <w:rPr>
          <w:rFonts w:ascii="Times New Roman" w:eastAsia="Batang" w:hAnsi="Times New Roman" w:cs="Times New Roman"/>
          <w:color w:val="000000"/>
          <w:lang w:eastAsia="x-none"/>
        </w:rPr>
        <w:t>SDL to FDD switch</w:t>
      </w:r>
      <w:r w:rsidRPr="003054FC">
        <w:rPr>
          <w:rFonts w:ascii="Times New Roman" w:eastAsia="DengXian" w:hAnsi="Times New Roman" w:cs="Times New Roman"/>
          <w:color w:val="000000"/>
          <w:lang w:eastAsia="zh-CN"/>
        </w:rPr>
        <w:t xml:space="preserve"> ends at the end of slot on SDL.</w:t>
      </w:r>
    </w:p>
    <w:p w14:paraId="27AA9609" w14:textId="77777777" w:rsidR="003054FC" w:rsidRPr="003054FC" w:rsidRDefault="003054FC" w:rsidP="003054FC">
      <w:pPr>
        <w:numPr>
          <w:ilvl w:val="3"/>
          <w:numId w:val="34"/>
        </w:numPr>
        <w:spacing w:after="0" w:line="240" w:lineRule="auto"/>
        <w:jc w:val="both"/>
        <w:rPr>
          <w:rFonts w:ascii="Times New Roman" w:eastAsia="Batang" w:hAnsi="Times New Roman" w:cs="Times New Roman"/>
          <w:color w:val="000000"/>
          <w:lang w:eastAsia="x-none"/>
        </w:rPr>
      </w:pPr>
      <w:r w:rsidRPr="003054FC">
        <w:rPr>
          <w:rFonts w:ascii="Times New Roman" w:eastAsia="DengXian" w:hAnsi="Times New Roman" w:cs="Times New Roman"/>
          <w:color w:val="000000"/>
          <w:lang w:eastAsia="zh-CN"/>
        </w:rPr>
        <w:t>Note: RAN1 assumes that s</w:t>
      </w:r>
      <w:r w:rsidRPr="003054FC">
        <w:rPr>
          <w:rFonts w:ascii="Times New Roman" w:eastAsia="Batang" w:hAnsi="Times New Roman" w:cs="Times New Roman"/>
          <w:color w:val="000000"/>
          <w:lang w:eastAsia="x-none"/>
        </w:rPr>
        <w:t>witching gap for</w:t>
      </w:r>
      <w:r w:rsidRPr="003054FC">
        <w:rPr>
          <w:rFonts w:ascii="Times New Roman" w:eastAsia="Batang" w:hAnsi="Times New Roman" w:cs="Times New Roman"/>
          <w:color w:val="000000"/>
          <w:lang w:val="en-US" w:eastAsia="x-none"/>
        </w:rPr>
        <w:t xml:space="preserve"> </w:t>
      </w:r>
      <w:r w:rsidRPr="003054FC">
        <w:rPr>
          <w:rFonts w:ascii="Times New Roman" w:eastAsia="Batang" w:hAnsi="Times New Roman" w:cs="Times New Roman"/>
          <w:color w:val="000000"/>
          <w:lang w:eastAsia="x-none"/>
        </w:rPr>
        <w:t>SDL to FDD switch includes UL TA.</w:t>
      </w:r>
    </w:p>
    <w:p w14:paraId="564AA74B" w14:textId="77777777" w:rsidR="003054FC" w:rsidRPr="003054FC" w:rsidRDefault="003054FC" w:rsidP="003054FC">
      <w:pPr>
        <w:numPr>
          <w:ilvl w:val="2"/>
          <w:numId w:val="34"/>
        </w:numPr>
        <w:spacing w:after="0" w:line="240" w:lineRule="auto"/>
        <w:jc w:val="both"/>
        <w:rPr>
          <w:rFonts w:ascii="Times New Roman" w:eastAsia="Batang" w:hAnsi="Times New Roman" w:cs="Times New Roman"/>
          <w:color w:val="000000"/>
          <w:lang w:eastAsia="x-none"/>
        </w:rPr>
      </w:pPr>
      <w:r w:rsidRPr="003054FC">
        <w:rPr>
          <w:rFonts w:ascii="Times New Roman" w:eastAsia="Batang" w:hAnsi="Times New Roman" w:cs="Times New Roman"/>
          <w:color w:val="000000"/>
          <w:lang w:eastAsia="x-none"/>
        </w:rPr>
        <w:t>FFS: whether it has specification impact.</w:t>
      </w:r>
    </w:p>
    <w:p w14:paraId="2A52FD8F" w14:textId="77777777" w:rsidR="00470F25" w:rsidRPr="00650707" w:rsidRDefault="00470F25" w:rsidP="000C3CF0">
      <w:pPr>
        <w:spacing w:after="0" w:line="240" w:lineRule="auto"/>
        <w:rPr>
          <w:rFonts w:ascii="Times New Roman" w:eastAsia="Batang" w:hAnsi="Times New Roman" w:cs="Times New Roman"/>
          <w:sz w:val="20"/>
          <w:highlight w:val="green"/>
          <w:lang w:eastAsia="x-none"/>
        </w:rPr>
      </w:pPr>
    </w:p>
    <w:p w14:paraId="658D2439" w14:textId="52D561FE" w:rsidR="007E16AD" w:rsidRPr="00650707" w:rsidRDefault="00F458AB" w:rsidP="00A4259F">
      <w:pPr>
        <w:spacing w:before="240" w:after="240"/>
        <w:jc w:val="both"/>
        <w:rPr>
          <w:rFonts w:ascii="Times New Roman" w:eastAsia="SimSun" w:hAnsi="Times New Roman" w:cs="Times New Roman"/>
          <w:lang w:eastAsia="zh-CN"/>
        </w:rPr>
      </w:pPr>
      <w:r w:rsidRPr="00650707">
        <w:rPr>
          <w:rFonts w:ascii="Times New Roman" w:eastAsia="SimSun" w:hAnsi="Times New Roman" w:cs="Times New Roman"/>
          <w:lang w:eastAsia="zh-CN"/>
        </w:rPr>
        <w:t>In this contribution</w:t>
      </w:r>
      <w:r w:rsidR="001F4259" w:rsidRPr="00650707">
        <w:rPr>
          <w:rFonts w:ascii="Times New Roman" w:eastAsia="SimSun" w:hAnsi="Times New Roman" w:cs="Times New Roman"/>
          <w:lang w:eastAsia="zh-CN"/>
        </w:rPr>
        <w:t>,</w:t>
      </w:r>
      <w:r w:rsidRPr="00650707">
        <w:rPr>
          <w:rFonts w:ascii="Times New Roman" w:eastAsia="SimSun" w:hAnsi="Times New Roman" w:cs="Times New Roman"/>
          <w:lang w:eastAsia="zh-CN"/>
        </w:rPr>
        <w:t xml:space="preserve"> we discuss </w:t>
      </w:r>
      <w:r w:rsidR="00A320A8" w:rsidRPr="00650707">
        <w:rPr>
          <w:rFonts w:ascii="Times New Roman" w:eastAsia="SimSun" w:hAnsi="Times New Roman" w:cs="Times New Roman"/>
          <w:lang w:eastAsia="zh-CN"/>
        </w:rPr>
        <w:t>our views on</w:t>
      </w:r>
      <w:r w:rsidRPr="00650707">
        <w:rPr>
          <w:rFonts w:ascii="Times New Roman" w:eastAsia="SimSun" w:hAnsi="Times New Roman" w:cs="Times New Roman"/>
          <w:lang w:eastAsia="zh-CN"/>
        </w:rPr>
        <w:t xml:space="preserve"> </w:t>
      </w:r>
      <w:r w:rsidR="00BB7810" w:rsidRPr="00650707">
        <w:rPr>
          <w:rFonts w:ascii="Times New Roman" w:eastAsia="SimSun" w:hAnsi="Times New Roman" w:cs="Times New Roman"/>
          <w:lang w:eastAsia="zh-CN"/>
        </w:rPr>
        <w:t xml:space="preserve">the </w:t>
      </w:r>
      <w:r w:rsidR="001909E3" w:rsidRPr="00650707">
        <w:rPr>
          <w:rFonts w:ascii="Times New Roman" w:eastAsia="SimSun" w:hAnsi="Times New Roman" w:cs="Times New Roman"/>
          <w:lang w:eastAsia="zh-CN"/>
        </w:rPr>
        <w:t>issue</w:t>
      </w:r>
      <w:r w:rsidR="00BB7810" w:rsidRPr="00650707">
        <w:rPr>
          <w:rFonts w:ascii="Times New Roman" w:eastAsia="SimSun" w:hAnsi="Times New Roman" w:cs="Times New Roman"/>
          <w:lang w:eastAsia="zh-CN"/>
        </w:rPr>
        <w:t>s</w:t>
      </w:r>
      <w:r w:rsidR="008602F6" w:rsidRPr="00650707">
        <w:rPr>
          <w:rFonts w:ascii="Times New Roman" w:eastAsia="SimSun" w:hAnsi="Times New Roman" w:cs="Times New Roman"/>
          <w:lang w:eastAsia="zh-CN"/>
        </w:rPr>
        <w:t xml:space="preserve"> to support</w:t>
      </w:r>
      <w:r w:rsidR="0009086D" w:rsidRPr="00650707">
        <w:rPr>
          <w:rFonts w:ascii="Times New Roman" w:hAnsi="Times New Roman" w:cs="Times New Roman"/>
        </w:rPr>
        <w:t xml:space="preserve"> </w:t>
      </w:r>
      <w:r w:rsidR="009B0AB1" w:rsidRPr="00650707">
        <w:rPr>
          <w:rFonts w:ascii="Times New Roman" w:eastAsia="SimSun" w:hAnsi="Times New Roman" w:cs="Times New Roman"/>
          <w:lang w:eastAsia="zh-CN"/>
        </w:rPr>
        <w:t>low band carrier aggregation via switching</w:t>
      </w:r>
      <w:r w:rsidR="00AD3101" w:rsidRPr="00650707">
        <w:rPr>
          <w:rFonts w:ascii="Times New Roman" w:eastAsia="SimSun" w:hAnsi="Times New Roman" w:cs="Times New Roman"/>
          <w:lang w:eastAsia="zh-CN"/>
        </w:rPr>
        <w:t xml:space="preserve"> such as semi-static switching pattern and special slot configuration.</w:t>
      </w:r>
    </w:p>
    <w:p w14:paraId="12B88F8B" w14:textId="59D7474B" w:rsidR="00364697" w:rsidRPr="00650707" w:rsidRDefault="00364697" w:rsidP="006512FD">
      <w:pPr>
        <w:pStyle w:val="Heading1"/>
        <w:spacing w:before="240" w:after="240"/>
        <w:ind w:left="578" w:hanging="578"/>
        <w:rPr>
          <w:lang w:eastAsia="zh-CN"/>
        </w:rPr>
      </w:pPr>
      <w:bookmarkStart w:id="4" w:name="_Ref129681832"/>
      <w:r w:rsidRPr="00650707">
        <w:rPr>
          <w:lang w:eastAsia="zh-CN"/>
        </w:rPr>
        <w:t>Discussion</w:t>
      </w:r>
    </w:p>
    <w:p w14:paraId="3938F38F" w14:textId="75F67AE5" w:rsidR="009816B1" w:rsidRPr="00650707" w:rsidRDefault="001F5A5D" w:rsidP="00CC3E6F">
      <w:pPr>
        <w:pStyle w:val="Heading2"/>
        <w:numPr>
          <w:ilvl w:val="1"/>
          <w:numId w:val="22"/>
        </w:numPr>
        <w:rPr>
          <w:szCs w:val="24"/>
          <w:lang w:val="en-GB"/>
        </w:rPr>
      </w:pPr>
      <w:r w:rsidRPr="00650707">
        <w:rPr>
          <w:szCs w:val="24"/>
          <w:lang w:val="en-GB"/>
        </w:rPr>
        <w:t>Discussion on Semi-static switching pattern</w:t>
      </w:r>
    </w:p>
    <w:p w14:paraId="02FD55E7" w14:textId="651F7758" w:rsidR="00AC1C1F" w:rsidRPr="00650707" w:rsidRDefault="00AC1C1F" w:rsidP="00AC1C1F">
      <w:pPr>
        <w:rPr>
          <w:rFonts w:ascii="Times New Roman" w:hAnsi="Times New Roman" w:cs="Times New Roman"/>
          <w:lang w:eastAsia="en-US"/>
        </w:rPr>
      </w:pPr>
      <w:r w:rsidRPr="00650707">
        <w:rPr>
          <w:rFonts w:ascii="Times New Roman" w:hAnsi="Times New Roman" w:cs="Times New Roman"/>
          <w:lang w:eastAsia="en-US"/>
        </w:rPr>
        <w:t xml:space="preserve">Each UE may be configured with a semi-static switching pattern based on RRC configuration to allow switching between {case 1, case 2} </w:t>
      </w:r>
    </w:p>
    <w:p w14:paraId="4BD53923" w14:textId="77777777" w:rsidR="00AC1C1F" w:rsidRPr="00650707" w:rsidRDefault="00AC1C1F" w:rsidP="00AC1C1F">
      <w:pPr>
        <w:rPr>
          <w:rFonts w:ascii="Times New Roman" w:hAnsi="Times New Roman" w:cs="Times New Roman"/>
          <w:lang w:eastAsia="en-US"/>
        </w:rPr>
      </w:pPr>
      <w:r w:rsidRPr="00650707">
        <w:rPr>
          <w:rFonts w:ascii="Times New Roman" w:hAnsi="Times New Roman" w:cs="Times New Roman"/>
          <w:lang w:eastAsia="en-US"/>
        </w:rPr>
        <w:t>•</w:t>
      </w:r>
      <w:r w:rsidRPr="00650707">
        <w:rPr>
          <w:rFonts w:ascii="Times New Roman" w:hAnsi="Times New Roman" w:cs="Times New Roman"/>
          <w:lang w:eastAsia="en-US"/>
        </w:rPr>
        <w:tab/>
        <w:t>Case 1: Tx/Rx on FDD carrier 1 and no Rx on SDL carrier 2</w:t>
      </w:r>
    </w:p>
    <w:p w14:paraId="14A0B667" w14:textId="77777777" w:rsidR="00AC1C1F" w:rsidRPr="00650707" w:rsidRDefault="00AC1C1F" w:rsidP="00AC1C1F">
      <w:pPr>
        <w:rPr>
          <w:rFonts w:ascii="Times New Roman" w:hAnsi="Times New Roman" w:cs="Times New Roman"/>
          <w:lang w:eastAsia="en-US"/>
        </w:rPr>
      </w:pPr>
      <w:r w:rsidRPr="00650707">
        <w:rPr>
          <w:rFonts w:ascii="Times New Roman" w:hAnsi="Times New Roman" w:cs="Times New Roman"/>
          <w:lang w:eastAsia="en-US"/>
        </w:rPr>
        <w:t>•</w:t>
      </w:r>
      <w:r w:rsidRPr="00650707">
        <w:rPr>
          <w:rFonts w:ascii="Times New Roman" w:hAnsi="Times New Roman" w:cs="Times New Roman"/>
          <w:lang w:eastAsia="en-US"/>
        </w:rPr>
        <w:tab/>
        <w:t>Case 2: Rx on SDL carrier 2 and no Tx/Rx on FDD carrier 1</w:t>
      </w:r>
    </w:p>
    <w:p w14:paraId="086443BF" w14:textId="4B7DE4E8" w:rsidR="004A6D0E" w:rsidRPr="00650707" w:rsidRDefault="00AD3101" w:rsidP="006E0F10">
      <w:pPr>
        <w:jc w:val="both"/>
        <w:rPr>
          <w:rFonts w:ascii="Times New Roman" w:hAnsi="Times New Roman" w:cs="Times New Roman"/>
          <w:lang w:eastAsia="en-US"/>
        </w:rPr>
      </w:pPr>
      <w:r w:rsidRPr="00650707">
        <w:rPr>
          <w:rFonts w:ascii="Times New Roman" w:hAnsi="Times New Roman" w:cs="Times New Roman"/>
          <w:lang w:eastAsia="en-US"/>
        </w:rPr>
        <w:t xml:space="preserve">Each pattern </w:t>
      </w:r>
      <w:r w:rsidR="00AC1C1F" w:rsidRPr="00650707">
        <w:rPr>
          <w:rFonts w:ascii="Times New Roman" w:hAnsi="Times New Roman" w:cs="Times New Roman"/>
          <w:lang w:eastAsia="en-US"/>
        </w:rPr>
        <w:t>should be configured with</w:t>
      </w:r>
      <w:r w:rsidRPr="00650707">
        <w:rPr>
          <w:rFonts w:ascii="Times New Roman" w:hAnsi="Times New Roman" w:cs="Times New Roman"/>
          <w:lang w:eastAsia="en-US"/>
        </w:rPr>
        <w:t xml:space="preserve"> a ‘periodicity’ </w:t>
      </w:r>
      <w:r w:rsidR="00AC1C1F" w:rsidRPr="00650707">
        <w:rPr>
          <w:rFonts w:ascii="Times New Roman" w:hAnsi="Times New Roman" w:cs="Times New Roman"/>
          <w:lang w:eastAsia="en-US"/>
        </w:rPr>
        <w:t xml:space="preserve">at which the switching pattern is repeated. When a UE switches from Case 1 to Case 2, </w:t>
      </w:r>
      <w:r w:rsidR="002E6B95" w:rsidRPr="00650707">
        <w:rPr>
          <w:rFonts w:ascii="Times New Roman" w:hAnsi="Times New Roman" w:cs="Times New Roman"/>
          <w:lang w:eastAsia="en-US"/>
        </w:rPr>
        <w:t xml:space="preserve">or Case 2 to Case 1, a special slot is needed so that the switching gap is accommodated without affecting the slot </w:t>
      </w:r>
      <w:r w:rsidR="001C06B5" w:rsidRPr="00650707">
        <w:rPr>
          <w:rFonts w:ascii="Times New Roman" w:hAnsi="Times New Roman" w:cs="Times New Roman"/>
          <w:lang w:eastAsia="en-US"/>
        </w:rPr>
        <w:t>alignment</w:t>
      </w:r>
      <w:r w:rsidR="002E6B95" w:rsidRPr="00650707">
        <w:rPr>
          <w:rFonts w:ascii="Times New Roman" w:hAnsi="Times New Roman" w:cs="Times New Roman"/>
          <w:lang w:eastAsia="en-US"/>
        </w:rPr>
        <w:t xml:space="preserve"> of FDD carrier 1 and SDL carrier</w:t>
      </w:r>
      <w:r w:rsidR="00856B9F" w:rsidRPr="00650707">
        <w:rPr>
          <w:rFonts w:ascii="Times New Roman" w:hAnsi="Times New Roman" w:cs="Times New Roman"/>
          <w:lang w:eastAsia="en-US"/>
        </w:rPr>
        <w:t xml:space="preserve"> </w:t>
      </w:r>
      <w:r w:rsidR="002E6B95" w:rsidRPr="00650707">
        <w:rPr>
          <w:rFonts w:ascii="Times New Roman" w:hAnsi="Times New Roman" w:cs="Times New Roman"/>
          <w:lang w:eastAsia="en-US"/>
        </w:rPr>
        <w:t>2.</w:t>
      </w:r>
    </w:p>
    <w:p w14:paraId="0B93ED59" w14:textId="48A9E897" w:rsidR="004A6D0E" w:rsidRPr="00650707" w:rsidRDefault="004A6D0E" w:rsidP="006E0F10">
      <w:pPr>
        <w:jc w:val="both"/>
        <w:rPr>
          <w:rFonts w:ascii="Times New Roman" w:hAnsi="Times New Roman" w:cs="Times New Roman"/>
        </w:rPr>
      </w:pPr>
      <w:r w:rsidRPr="00650707">
        <w:rPr>
          <w:rFonts w:ascii="Times New Roman" w:hAnsi="Times New Roman" w:cs="Times New Roman"/>
          <w:lang w:eastAsia="en-US"/>
        </w:rPr>
        <w:t>A special switching slot configuration can have at the start of the slot, a number of gap symbols for FDD to SDL switching, followed by flexible symbols which can be used for SDL transmission</w:t>
      </w:r>
      <w:r w:rsidR="00702B4E">
        <w:rPr>
          <w:rFonts w:ascii="Times New Roman" w:hAnsi="Times New Roman" w:cs="Times New Roman" w:hint="eastAsia"/>
        </w:rPr>
        <w:t xml:space="preserve"> (in case of Alt 3).</w:t>
      </w:r>
    </w:p>
    <w:p w14:paraId="70B37544" w14:textId="332FDD5F" w:rsidR="004A6D0E" w:rsidRPr="004A6D0E" w:rsidRDefault="004A6D0E" w:rsidP="006E0F10">
      <w:pPr>
        <w:jc w:val="both"/>
        <w:rPr>
          <w:rFonts w:ascii="Times New Roman" w:hAnsi="Times New Roman" w:cs="Times New Roman"/>
          <w:lang w:eastAsia="en-US"/>
        </w:rPr>
      </w:pPr>
      <w:r w:rsidRPr="00650707">
        <w:rPr>
          <w:rFonts w:ascii="Times New Roman" w:hAnsi="Times New Roman" w:cs="Times New Roman"/>
          <w:lang w:eastAsia="en-US"/>
        </w:rPr>
        <w:t xml:space="preserve">The </w:t>
      </w:r>
      <w:r w:rsidRPr="004A6D0E">
        <w:rPr>
          <w:rFonts w:ascii="Times New Roman" w:hAnsi="Times New Roman" w:cs="Times New Roman"/>
          <w:lang w:eastAsia="en-US"/>
        </w:rPr>
        <w:t xml:space="preserve">switching slot configuration can </w:t>
      </w:r>
      <w:r w:rsidRPr="00650707">
        <w:rPr>
          <w:rFonts w:ascii="Times New Roman" w:hAnsi="Times New Roman" w:cs="Times New Roman"/>
          <w:lang w:eastAsia="en-US"/>
        </w:rPr>
        <w:t xml:space="preserve">also </w:t>
      </w:r>
      <w:r w:rsidRPr="004A6D0E">
        <w:rPr>
          <w:rFonts w:ascii="Times New Roman" w:hAnsi="Times New Roman" w:cs="Times New Roman"/>
          <w:lang w:eastAsia="en-US"/>
        </w:rPr>
        <w:t xml:space="preserve">begin with a number of </w:t>
      </w:r>
      <w:r w:rsidR="00A201ED">
        <w:rPr>
          <w:rFonts w:ascii="Times New Roman" w:hAnsi="Times New Roman" w:cs="Times New Roman" w:hint="eastAsia"/>
        </w:rPr>
        <w:t xml:space="preserve">SDL symbols followed by </w:t>
      </w:r>
      <w:r w:rsidRPr="004A6D0E">
        <w:rPr>
          <w:rFonts w:ascii="Times New Roman" w:hAnsi="Times New Roman" w:cs="Times New Roman"/>
          <w:lang w:eastAsia="en-US"/>
        </w:rPr>
        <w:t>gap symbols for SDL to FDD switching</w:t>
      </w:r>
      <w:r w:rsidRPr="00650707">
        <w:rPr>
          <w:rFonts w:ascii="Times New Roman" w:hAnsi="Times New Roman" w:cs="Times New Roman"/>
          <w:lang w:eastAsia="en-US"/>
        </w:rPr>
        <w:t>.</w:t>
      </w:r>
    </w:p>
    <w:p w14:paraId="2FA6A41F" w14:textId="58282AAB" w:rsidR="004A6D0E" w:rsidRPr="004A6D0E" w:rsidRDefault="004A6D0E" w:rsidP="006E0F10">
      <w:pPr>
        <w:jc w:val="both"/>
        <w:rPr>
          <w:rFonts w:ascii="Times New Roman" w:hAnsi="Times New Roman" w:cs="Times New Roman"/>
          <w:lang w:eastAsia="en-US"/>
        </w:rPr>
      </w:pPr>
      <w:r w:rsidRPr="00650707">
        <w:rPr>
          <w:rFonts w:ascii="Times New Roman" w:hAnsi="Times New Roman" w:cs="Times New Roman"/>
          <w:lang w:eastAsia="en-US"/>
        </w:rPr>
        <w:t>The switching gap can be determined by UE capability</w:t>
      </w:r>
      <w:r w:rsidR="006E0F10" w:rsidRPr="00650707">
        <w:rPr>
          <w:rFonts w:ascii="Times New Roman" w:hAnsi="Times New Roman" w:cs="Times New Roman"/>
          <w:lang w:eastAsia="en-US"/>
        </w:rPr>
        <w:t>. In addition to switching time, for switching from SDL to FDD, the gap would also need to consider TA value for FDD UL, depending on cell size or UE position</w:t>
      </w:r>
      <w:r w:rsidR="00856B9F" w:rsidRPr="00650707">
        <w:rPr>
          <w:rFonts w:ascii="Times New Roman" w:hAnsi="Times New Roman" w:cs="Times New Roman"/>
          <w:lang w:eastAsia="en-US"/>
        </w:rPr>
        <w:t>, as shown in figure below.</w:t>
      </w:r>
    </w:p>
    <w:p w14:paraId="49B16969" w14:textId="4ED7D0E4" w:rsidR="004A6D0E" w:rsidRPr="004A6D0E" w:rsidRDefault="00856B9F" w:rsidP="00856B9F">
      <w:pPr>
        <w:jc w:val="center"/>
        <w:rPr>
          <w:rFonts w:ascii="Times New Roman" w:hAnsi="Times New Roman" w:cs="Times New Roman"/>
          <w:lang w:eastAsia="en-US"/>
        </w:rPr>
      </w:pPr>
      <w:r w:rsidRPr="00650707">
        <w:rPr>
          <w:rFonts w:ascii="Times New Roman" w:eastAsia="SimSun" w:hAnsi="Times New Roman" w:cs="Times New Roman"/>
          <w:bCs/>
          <w:iCs/>
          <w:noProof/>
          <w:lang w:eastAsia="zh-CN"/>
        </w:rPr>
        <w:lastRenderedPageBreak/>
        <w:drawing>
          <wp:inline distT="0" distB="0" distL="0" distR="0" wp14:anchorId="48759C62" wp14:editId="1D8F2A5E">
            <wp:extent cx="4120515" cy="2088345"/>
            <wp:effectExtent l="0" t="0" r="0" b="0"/>
            <wp:docPr id="669857165"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857165" name="Picture 1" descr="A diagram of a computer&#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8869" cy="2092579"/>
                    </a:xfrm>
                    <a:prstGeom prst="rect">
                      <a:avLst/>
                    </a:prstGeom>
                    <a:noFill/>
                  </pic:spPr>
                </pic:pic>
              </a:graphicData>
            </a:graphic>
          </wp:inline>
        </w:drawing>
      </w:r>
    </w:p>
    <w:p w14:paraId="095AA14D" w14:textId="4E4C4473" w:rsidR="00BF58FF" w:rsidRPr="00650707" w:rsidRDefault="00856B9F" w:rsidP="00856B9F">
      <w:pPr>
        <w:jc w:val="center"/>
        <w:rPr>
          <w:rFonts w:ascii="Times New Roman" w:eastAsia="Segoe UI" w:hAnsi="Times New Roman" w:cs="Times New Roman"/>
          <w:color w:val="262626"/>
          <w:position w:val="1"/>
        </w:rPr>
      </w:pPr>
      <w:r w:rsidRPr="00650707">
        <w:rPr>
          <w:rFonts w:ascii="Times New Roman" w:eastAsia="Segoe UI" w:hAnsi="Times New Roman" w:cs="Times New Roman"/>
          <w:color w:val="262626"/>
          <w:position w:val="1"/>
        </w:rPr>
        <w:t>Figure 1</w:t>
      </w:r>
      <w:r w:rsidR="005F6424" w:rsidRPr="00650707">
        <w:rPr>
          <w:rFonts w:ascii="Times New Roman" w:eastAsia="Segoe UI" w:hAnsi="Times New Roman" w:cs="Times New Roman"/>
          <w:color w:val="262626"/>
          <w:position w:val="1"/>
        </w:rPr>
        <w:t xml:space="preserve"> </w:t>
      </w:r>
      <w:r w:rsidRPr="00650707">
        <w:rPr>
          <w:rFonts w:ascii="Times New Roman" w:eastAsia="Segoe UI" w:hAnsi="Times New Roman" w:cs="Times New Roman"/>
          <w:color w:val="262626"/>
          <w:position w:val="1"/>
        </w:rPr>
        <w:t>S</w:t>
      </w:r>
      <w:r w:rsidR="00902D13" w:rsidRPr="00650707">
        <w:rPr>
          <w:rFonts w:ascii="Times New Roman" w:eastAsia="Segoe UI" w:hAnsi="Times New Roman" w:cs="Times New Roman"/>
          <w:color w:val="262626"/>
          <w:position w:val="1"/>
        </w:rPr>
        <w:t>DL and FDD switching gap</w:t>
      </w:r>
    </w:p>
    <w:p w14:paraId="4B9EA23D" w14:textId="02012404" w:rsidR="000817FC" w:rsidRPr="00650707" w:rsidRDefault="000817FC" w:rsidP="000817FC">
      <w:pPr>
        <w:pStyle w:val="Heading3"/>
        <w:rPr>
          <w:sz w:val="24"/>
          <w:szCs w:val="24"/>
        </w:rPr>
      </w:pPr>
      <w:r w:rsidRPr="00650707">
        <w:rPr>
          <w:sz w:val="24"/>
          <w:szCs w:val="24"/>
        </w:rPr>
        <w:t xml:space="preserve">Special </w:t>
      </w:r>
      <w:r w:rsidR="00A201ED">
        <w:rPr>
          <w:rFonts w:hint="eastAsia"/>
          <w:sz w:val="24"/>
          <w:szCs w:val="24"/>
          <w:lang w:eastAsia="ja-JP"/>
        </w:rPr>
        <w:t xml:space="preserve">Switching </w:t>
      </w:r>
      <w:r w:rsidRPr="00650707">
        <w:rPr>
          <w:sz w:val="24"/>
          <w:szCs w:val="24"/>
        </w:rPr>
        <w:t>Slot Configuration</w:t>
      </w:r>
    </w:p>
    <w:p w14:paraId="0078DA58" w14:textId="77777777" w:rsidR="00702B4E" w:rsidRPr="00662073" w:rsidRDefault="00702B4E" w:rsidP="00702B4E">
      <w:pPr>
        <w:rPr>
          <w:rFonts w:ascii="Times New Roman" w:hAnsi="Times New Roman" w:cs="Times New Roman"/>
        </w:rPr>
      </w:pPr>
      <w:r>
        <w:rPr>
          <w:rFonts w:ascii="Times New Roman" w:hAnsi="Times New Roman" w:cs="Times New Roman" w:hint="eastAsia"/>
        </w:rPr>
        <w:t xml:space="preserve">In RAN1#121-bis, it was agreed </w:t>
      </w:r>
      <w:r>
        <w:rPr>
          <w:rFonts w:ascii="Times New Roman" w:hAnsi="Times New Roman" w:cs="Times New Roman"/>
        </w:rPr>
        <w:t>that</w:t>
      </w:r>
      <w:r>
        <w:rPr>
          <w:rFonts w:ascii="Times New Roman" w:hAnsi="Times New Roman" w:cs="Times New Roman" w:hint="eastAsia"/>
        </w:rPr>
        <w:t xml:space="preserve"> </w:t>
      </w:r>
      <w:r>
        <w:rPr>
          <w:rFonts w:ascii="Times New Roman" w:hAnsi="Times New Roman" w:cs="Times New Roman"/>
        </w:rPr>
        <w:t>“</w:t>
      </w:r>
      <w:r w:rsidRPr="00527BDD">
        <w:rPr>
          <w:rFonts w:ascii="Times New Roman" w:hAnsi="Times New Roman" w:cs="Times New Roman"/>
        </w:rPr>
        <w:t>For switching from SDL carrier to FDD carrier, the switching gap is always assumed at the “switch from” carrier, i.e., SDL carrier</w:t>
      </w:r>
      <w:r>
        <w:rPr>
          <w:rFonts w:ascii="Times New Roman" w:hAnsi="Times New Roman" w:cs="Times New Roman"/>
        </w:rPr>
        <w:t>”</w:t>
      </w:r>
      <w:r>
        <w:rPr>
          <w:rFonts w:ascii="Times New Roman" w:hAnsi="Times New Roman" w:cs="Times New Roman" w:hint="eastAsia"/>
        </w:rPr>
        <w:t xml:space="preserve"> as shown in Figure 1 (see the 2</w:t>
      </w:r>
      <w:r w:rsidRPr="00FE0AD5">
        <w:rPr>
          <w:rFonts w:ascii="Times New Roman" w:hAnsi="Times New Roman" w:cs="Times New Roman"/>
          <w:vertAlign w:val="superscript"/>
        </w:rPr>
        <w:t>nd</w:t>
      </w:r>
      <w:r>
        <w:rPr>
          <w:rFonts w:ascii="Times New Roman" w:hAnsi="Times New Roman" w:cs="Times New Roman" w:hint="eastAsia"/>
        </w:rPr>
        <w:t xml:space="preserve"> SDL slot). In another agreement, one note is included that </w:t>
      </w:r>
      <w:r>
        <w:rPr>
          <w:rFonts w:ascii="Times New Roman" w:hAnsi="Times New Roman" w:cs="Times New Roman"/>
        </w:rPr>
        <w:t>“</w:t>
      </w:r>
      <w:r>
        <w:rPr>
          <w:rFonts w:ascii="Times New Roman" w:hAnsi="Times New Roman" w:cs="Times New Roman" w:hint="eastAsia"/>
        </w:rPr>
        <w:t>RAN1 assumes that switching gap for SDL to FDD switch includes UL TA</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Consequently</w:t>
      </w:r>
      <w:r>
        <w:rPr>
          <w:rFonts w:ascii="Times New Roman" w:hAnsi="Times New Roman" w:cs="Times New Roman" w:hint="eastAsia"/>
        </w:rPr>
        <w:t xml:space="preserve">, from UE point of view, the first FDD UL slot after switching from SDL carrier starts within the switching gap of the last SDL slot as shown in Figure 1. It will be reasonable the UE should be able to perform FDD UL transmissions from the first symbol of FDD UL slot within switching gap from SDL to FDD in SDL slot, i.e. UE </w:t>
      </w:r>
      <w:r>
        <w:rPr>
          <w:rFonts w:ascii="Times New Roman" w:hAnsi="Times New Roman" w:cs="Times New Roman"/>
        </w:rPr>
        <w:t>should</w:t>
      </w:r>
      <w:r>
        <w:rPr>
          <w:rFonts w:ascii="Times New Roman" w:hAnsi="Times New Roman" w:cs="Times New Roman" w:hint="eastAsia"/>
        </w:rPr>
        <w:t xml:space="preserve"> complete switching from SDL carrier to FDD carrier TA value before FDD DL slot.</w:t>
      </w:r>
    </w:p>
    <w:p w14:paraId="2D0E0191" w14:textId="3B6248DE" w:rsidR="00702B4E" w:rsidRPr="003054FC" w:rsidRDefault="00702B4E" w:rsidP="00BF59CD">
      <w:pPr>
        <w:rPr>
          <w:rFonts w:ascii="Times New Roman" w:hAnsi="Times New Roman" w:cs="Times New Roman"/>
          <w:b/>
          <w:bCs/>
          <w:i/>
          <w:iCs/>
        </w:rPr>
      </w:pPr>
      <w:r w:rsidRPr="003054FC">
        <w:rPr>
          <w:rFonts w:ascii="Times New Roman" w:hAnsi="Times New Roman" w:cs="Times New Roman" w:hint="eastAsia"/>
          <w:b/>
          <w:bCs/>
          <w:i/>
          <w:iCs/>
        </w:rPr>
        <w:t>Proposal 1: Within switching gap from SDL to FDD in SDL slot, UE should be able to perform FDD UL transmissions from the first symbol of FDD UL slot after switching from SDL carrier to FDD carrier.</w:t>
      </w:r>
    </w:p>
    <w:p w14:paraId="0D22351D" w14:textId="77777777" w:rsidR="00702B4E" w:rsidRDefault="00702B4E" w:rsidP="00702B4E">
      <w:pPr>
        <w:rPr>
          <w:rFonts w:ascii="Times New Roman" w:hAnsi="Times New Roman" w:cs="Times New Roman"/>
        </w:rPr>
      </w:pPr>
      <w:r>
        <w:rPr>
          <w:rFonts w:ascii="Times New Roman" w:hAnsi="Times New Roman" w:cs="Times New Roman" w:hint="eastAsia"/>
        </w:rPr>
        <w:t>The case switching from FDD to SDL is FFS among three alternatives in RAN1#120-bis.</w:t>
      </w:r>
    </w:p>
    <w:p w14:paraId="745C4DC2" w14:textId="77777777" w:rsidR="00702B4E" w:rsidRDefault="00702B4E" w:rsidP="00702B4E">
      <w:pPr>
        <w:rPr>
          <w:rFonts w:ascii="Times New Roman" w:hAnsi="Times New Roman" w:cs="Times New Roman"/>
        </w:rPr>
      </w:pPr>
      <w:r>
        <w:rPr>
          <w:rFonts w:ascii="Times New Roman" w:hAnsi="Times New Roman" w:cs="Times New Roman" w:hint="eastAsia"/>
        </w:rPr>
        <w:t xml:space="preserve">In case switching gap would happen at the end of FDD DL slot as in Alt 1 and Alt 2, and switching time from FDD to SDL is shorter than TA value, there would be no impact on UL transmission because UL transmission in FDD UL symbol should be completed TA value before SDL slot starts. </w:t>
      </w:r>
      <w:r>
        <w:rPr>
          <w:rFonts w:ascii="Times New Roman" w:hAnsi="Times New Roman" w:cs="Times New Roman"/>
        </w:rPr>
        <w:t>However,</w:t>
      </w:r>
      <w:r>
        <w:rPr>
          <w:rFonts w:ascii="Times New Roman" w:hAnsi="Times New Roman" w:cs="Times New Roman" w:hint="eastAsia"/>
        </w:rPr>
        <w:t xml:space="preserve"> it cannot always be guaranteed and the last symbol(s) of the last FDD UL slot can be punctured. It would have impact on UL related procedures which utilizes UL last symbol(s). On the other hand, Alt 3 has no impact on UL transmissions.</w:t>
      </w:r>
    </w:p>
    <w:p w14:paraId="141FFC79" w14:textId="77777777" w:rsidR="00702B4E" w:rsidRDefault="00702B4E" w:rsidP="00702B4E">
      <w:pPr>
        <w:rPr>
          <w:rFonts w:ascii="Times New Roman" w:hAnsi="Times New Roman" w:cs="Times New Roman"/>
        </w:rPr>
      </w:pPr>
      <w:r>
        <w:rPr>
          <w:rFonts w:ascii="Times New Roman" w:hAnsi="Times New Roman" w:cs="Times New Roman" w:hint="eastAsia"/>
        </w:rPr>
        <w:t xml:space="preserve">From DL point of view, Alt 1 would have no impact. Alt 2 and 3 has impact on PDCCH because the first symbol(s) of the first SDL slot is not available due to switching gap. </w:t>
      </w:r>
      <w:r>
        <w:rPr>
          <w:rFonts w:ascii="Times New Roman" w:hAnsi="Times New Roman" w:cs="Times New Roman"/>
        </w:rPr>
        <w:t>T</w:t>
      </w:r>
      <w:r>
        <w:rPr>
          <w:rFonts w:ascii="Times New Roman" w:hAnsi="Times New Roman" w:cs="Times New Roman" w:hint="eastAsia"/>
        </w:rPr>
        <w:t>o utilize the first SDL slot, UE may need to support cross-slot scheduling and/or type B scheduling.</w:t>
      </w:r>
    </w:p>
    <w:p w14:paraId="2A255E23" w14:textId="77777777" w:rsidR="00702B4E" w:rsidRDefault="00702B4E" w:rsidP="00702B4E">
      <w:pPr>
        <w:rPr>
          <w:rFonts w:ascii="Times New Roman" w:hAnsi="Times New Roman" w:cs="Times New Roman"/>
        </w:rPr>
      </w:pPr>
      <w:r>
        <w:rPr>
          <w:rFonts w:ascii="Times New Roman" w:hAnsi="Times New Roman" w:cs="Times New Roman" w:hint="eastAsia"/>
        </w:rPr>
        <w:t>According to above discussion, our preference would be Alt 3 because it would require less specification efforts.</w:t>
      </w:r>
    </w:p>
    <w:p w14:paraId="769936AF" w14:textId="17C8AB48" w:rsidR="00702B4E" w:rsidRPr="00BF59CD" w:rsidRDefault="00702B4E" w:rsidP="00702B4E">
      <w:pPr>
        <w:rPr>
          <w:rFonts w:ascii="Times New Roman" w:hAnsi="Times New Roman" w:cs="Times New Roman"/>
          <w:b/>
          <w:bCs/>
          <w:i/>
          <w:iCs/>
        </w:rPr>
      </w:pPr>
      <w:r w:rsidRPr="00BF59CD">
        <w:rPr>
          <w:rFonts w:ascii="Times New Roman" w:hAnsi="Times New Roman" w:cs="Times New Roman" w:hint="eastAsia"/>
          <w:b/>
          <w:bCs/>
          <w:i/>
          <w:iCs/>
        </w:rPr>
        <w:t xml:space="preserve">Proposal </w:t>
      </w:r>
      <w:r w:rsidR="003054FC">
        <w:rPr>
          <w:rFonts w:ascii="Times New Roman" w:hAnsi="Times New Roman" w:cs="Times New Roman"/>
          <w:b/>
          <w:bCs/>
          <w:i/>
          <w:iCs/>
        </w:rPr>
        <w:t>2</w:t>
      </w:r>
      <w:r w:rsidRPr="00BF59CD">
        <w:rPr>
          <w:rFonts w:ascii="Times New Roman" w:hAnsi="Times New Roman" w:cs="Times New Roman" w:hint="eastAsia"/>
          <w:b/>
          <w:bCs/>
          <w:i/>
          <w:iCs/>
        </w:rPr>
        <w:t xml:space="preserve">: For switching from FDD carrier to SDL carrier, select Alt 3 </w:t>
      </w:r>
      <w:r w:rsidRPr="00BF59CD">
        <w:rPr>
          <w:rFonts w:ascii="Times New Roman" w:hAnsi="Times New Roman" w:cs="Times New Roman"/>
          <w:b/>
          <w:bCs/>
          <w:i/>
          <w:iCs/>
        </w:rPr>
        <w:t>“</w:t>
      </w:r>
      <w:r w:rsidRPr="00BF59CD">
        <w:rPr>
          <w:rFonts w:ascii="Times New Roman" w:hAnsi="Times New Roman" w:cs="Times New Roman" w:hint="eastAsia"/>
          <w:b/>
          <w:bCs/>
          <w:i/>
          <w:iCs/>
        </w:rPr>
        <w:t>Switching gap is always assumed at the SDL carrier</w:t>
      </w:r>
      <w:r w:rsidRPr="00BF59CD">
        <w:rPr>
          <w:rFonts w:ascii="Times New Roman" w:hAnsi="Times New Roman" w:cs="Times New Roman"/>
          <w:b/>
          <w:bCs/>
          <w:i/>
          <w:iCs/>
        </w:rPr>
        <w:t>”</w:t>
      </w:r>
      <w:r w:rsidRPr="00BF59CD">
        <w:rPr>
          <w:rFonts w:ascii="Times New Roman" w:hAnsi="Times New Roman" w:cs="Times New Roman" w:hint="eastAsia"/>
          <w:b/>
          <w:bCs/>
          <w:i/>
          <w:iCs/>
        </w:rPr>
        <w:t>.</w:t>
      </w:r>
    </w:p>
    <w:p w14:paraId="4ECAB5EE" w14:textId="77777777" w:rsidR="00BE7BB6" w:rsidRPr="00650707" w:rsidRDefault="00BE7BB6" w:rsidP="00902D13">
      <w:pPr>
        <w:pStyle w:val="ListParagraph"/>
        <w:spacing w:before="240" w:after="240"/>
        <w:rPr>
          <w:sz w:val="24"/>
          <w:szCs w:val="24"/>
        </w:rPr>
      </w:pPr>
    </w:p>
    <w:p w14:paraId="4DF45C5E" w14:textId="6507E428" w:rsidR="00606034" w:rsidRPr="00650707" w:rsidRDefault="005F6424" w:rsidP="005F6424">
      <w:pPr>
        <w:pStyle w:val="Heading3"/>
        <w:spacing w:before="100" w:beforeAutospacing="1" w:after="100" w:afterAutospacing="1" w:line="360" w:lineRule="auto"/>
        <w:rPr>
          <w:sz w:val="24"/>
          <w:szCs w:val="24"/>
        </w:rPr>
      </w:pPr>
      <w:bookmarkStart w:id="5" w:name="_Hlk193967366"/>
      <w:bookmarkStart w:id="6" w:name="_Hlk158718102"/>
      <w:bookmarkStart w:id="7" w:name="_Hlk67056900"/>
      <w:r w:rsidRPr="00650707">
        <w:rPr>
          <w:sz w:val="24"/>
          <w:szCs w:val="24"/>
        </w:rPr>
        <w:lastRenderedPageBreak/>
        <w:t xml:space="preserve">Activation of semi-static </w:t>
      </w:r>
      <w:r w:rsidR="00AC1CDA" w:rsidRPr="00650707">
        <w:rPr>
          <w:sz w:val="24"/>
          <w:szCs w:val="24"/>
        </w:rPr>
        <w:t xml:space="preserve">FDD/SDL </w:t>
      </w:r>
      <w:r w:rsidRPr="00650707">
        <w:rPr>
          <w:sz w:val="24"/>
          <w:szCs w:val="24"/>
        </w:rPr>
        <w:t>switching</w:t>
      </w:r>
    </w:p>
    <w:bookmarkEnd w:id="5"/>
    <w:p w14:paraId="7953E353" w14:textId="22F2E882" w:rsidR="00AD6584" w:rsidRPr="00650707" w:rsidRDefault="00AC1CDA" w:rsidP="00AD6584">
      <w:pPr>
        <w:rPr>
          <w:rFonts w:ascii="Times New Roman" w:hAnsi="Times New Roman" w:cs="Times New Roman"/>
          <w:lang w:eastAsia="zh-CN"/>
        </w:rPr>
      </w:pPr>
      <w:r w:rsidRPr="00650707">
        <w:rPr>
          <w:rFonts w:ascii="Times New Roman" w:hAnsi="Times New Roman" w:cs="Times New Roman"/>
          <w:lang w:eastAsia="zh-CN"/>
        </w:rPr>
        <w:t>The se</w:t>
      </w:r>
      <w:r w:rsidR="00AD6584" w:rsidRPr="00650707">
        <w:rPr>
          <w:rFonts w:ascii="Times New Roman" w:hAnsi="Times New Roman" w:cs="Times New Roman"/>
          <w:lang w:eastAsia="zh-CN"/>
        </w:rPr>
        <w:t xml:space="preserve">mi-static switching pattern </w:t>
      </w:r>
      <w:r w:rsidRPr="00650707">
        <w:rPr>
          <w:rFonts w:ascii="Times New Roman" w:hAnsi="Times New Roman" w:cs="Times New Roman"/>
          <w:lang w:eastAsia="zh-CN"/>
        </w:rPr>
        <w:t xml:space="preserve">can be </w:t>
      </w:r>
      <w:r w:rsidR="00AD6584" w:rsidRPr="00650707">
        <w:rPr>
          <w:rFonts w:ascii="Times New Roman" w:hAnsi="Times New Roman" w:cs="Times New Roman"/>
          <w:lang w:eastAsia="zh-CN"/>
        </w:rPr>
        <w:t>is activated/deactivated upon RRC configuration</w:t>
      </w:r>
      <w:r w:rsidRPr="00650707">
        <w:rPr>
          <w:rFonts w:ascii="Times New Roman" w:hAnsi="Times New Roman" w:cs="Times New Roman"/>
          <w:lang w:eastAsia="zh-CN"/>
        </w:rPr>
        <w:t xml:space="preserve">. </w:t>
      </w:r>
      <w:r w:rsidR="00AD6584" w:rsidRPr="00650707">
        <w:rPr>
          <w:rFonts w:ascii="Times New Roman" w:hAnsi="Times New Roman" w:cs="Times New Roman"/>
          <w:lang w:eastAsia="zh-CN"/>
        </w:rPr>
        <w:t>NW sends RRCSetup or RRCReconfiguration</w:t>
      </w:r>
      <w:r w:rsidRPr="00650707">
        <w:rPr>
          <w:rFonts w:ascii="Times New Roman" w:hAnsi="Times New Roman" w:cs="Times New Roman"/>
          <w:lang w:eastAsia="zh-CN"/>
        </w:rPr>
        <w:t xml:space="preserve"> to </w:t>
      </w:r>
      <w:r w:rsidR="00AD6584" w:rsidRPr="00650707">
        <w:rPr>
          <w:rFonts w:ascii="Times New Roman" w:hAnsi="Times New Roman" w:cs="Times New Roman"/>
          <w:lang w:eastAsia="zh-CN"/>
        </w:rPr>
        <w:t>configur</w:t>
      </w:r>
      <w:r w:rsidRPr="00650707">
        <w:rPr>
          <w:rFonts w:ascii="Times New Roman" w:hAnsi="Times New Roman" w:cs="Times New Roman"/>
          <w:lang w:eastAsia="zh-CN"/>
        </w:rPr>
        <w:t>e</w:t>
      </w:r>
      <w:r w:rsidR="00AD6584" w:rsidRPr="00650707">
        <w:rPr>
          <w:rFonts w:ascii="Times New Roman" w:hAnsi="Times New Roman" w:cs="Times New Roman"/>
          <w:lang w:eastAsia="zh-CN"/>
        </w:rPr>
        <w:t xml:space="preserve"> all the parameters necessary for low band carrier switching pattern e.g. FDD-SDL-ConfigCommon information element</w:t>
      </w:r>
      <w:r w:rsidRPr="00650707">
        <w:rPr>
          <w:rFonts w:ascii="Times New Roman" w:hAnsi="Times New Roman" w:cs="Times New Roman"/>
          <w:lang w:eastAsia="zh-CN"/>
        </w:rPr>
        <w:t xml:space="preserve">. </w:t>
      </w:r>
      <w:r w:rsidR="00AD6584" w:rsidRPr="00650707">
        <w:rPr>
          <w:rFonts w:ascii="Times New Roman" w:hAnsi="Times New Roman" w:cs="Times New Roman"/>
          <w:lang w:eastAsia="zh-CN"/>
        </w:rPr>
        <w:t>If a UE is provided FDD-SDL-ConfigCommon, the UE sets the slot format per slot over a number of slots as indicated by FDD-SDL-ConfigCommon.</w:t>
      </w:r>
    </w:p>
    <w:p w14:paraId="6B3AD939" w14:textId="0C2BA565" w:rsidR="001C06B5" w:rsidRPr="00650707" w:rsidRDefault="004055A7" w:rsidP="001C06B5">
      <w:pPr>
        <w:spacing w:before="86" w:after="0" w:line="252" w:lineRule="auto"/>
        <w:textAlignment w:val="baseline"/>
        <w:rPr>
          <w:rFonts w:ascii="Times New Roman" w:eastAsia="Times New Roman" w:hAnsi="Times New Roman" w:cs="Times New Roman"/>
        </w:rPr>
      </w:pPr>
      <w:r w:rsidRPr="00650707">
        <w:rPr>
          <w:rFonts w:ascii="Times New Roman" w:eastAsia="DengXian" w:hAnsi="Times New Roman" w:cs="Times New Roman"/>
          <w:color w:val="000000"/>
        </w:rPr>
        <w:t xml:space="preserve">Another </w:t>
      </w:r>
      <w:r w:rsidR="005062AE" w:rsidRPr="00650707">
        <w:rPr>
          <w:rFonts w:ascii="Times New Roman" w:eastAsia="DengXian" w:hAnsi="Times New Roman" w:cs="Times New Roman"/>
          <w:color w:val="000000"/>
        </w:rPr>
        <w:t>method of configuration</w:t>
      </w:r>
      <w:r w:rsidRPr="00650707">
        <w:rPr>
          <w:rFonts w:ascii="Times New Roman" w:eastAsia="DengXian" w:hAnsi="Times New Roman" w:cs="Times New Roman"/>
          <w:color w:val="000000"/>
        </w:rPr>
        <w:t xml:space="preserve"> is that UE does not start the semi-static FDD/SDL switching upon RRC configuration. Instead,</w:t>
      </w:r>
      <w:r w:rsidRPr="00650707">
        <w:rPr>
          <w:rFonts w:ascii="Times New Roman" w:eastAsia="DengXian" w:hAnsi="Times New Roman" w:cs="Times New Roman"/>
          <w:b/>
          <w:bCs/>
          <w:color w:val="000000"/>
        </w:rPr>
        <w:t xml:space="preserve"> </w:t>
      </w:r>
      <w:r w:rsidR="004951B5" w:rsidRPr="00650707">
        <w:rPr>
          <w:rFonts w:ascii="Times New Roman" w:eastAsia="DengXian" w:hAnsi="Times New Roman" w:cs="Times New Roman"/>
          <w:color w:val="000000"/>
          <w:lang w:val="en-US"/>
        </w:rPr>
        <w:t xml:space="preserve">UEs </w:t>
      </w:r>
      <w:r w:rsidRPr="00650707">
        <w:rPr>
          <w:rFonts w:ascii="Times New Roman" w:eastAsia="DengXian" w:hAnsi="Times New Roman" w:cs="Times New Roman"/>
          <w:color w:val="000000"/>
          <w:lang w:val="en-US"/>
        </w:rPr>
        <w:t>follows a dynamic activation/deactivation indication. For example, a DCI is needed to trigger the activation/deactivation of the semi-static FDD/SDL carrier switching.</w:t>
      </w:r>
      <w:r w:rsidR="00C32024" w:rsidRPr="00650707">
        <w:t xml:space="preserve"> </w:t>
      </w:r>
      <w:r w:rsidR="00C32024" w:rsidRPr="00650707">
        <w:rPr>
          <w:rFonts w:ascii="Times New Roman" w:eastAsia="DengXian" w:hAnsi="Times New Roman" w:cs="Times New Roman"/>
          <w:color w:val="000000"/>
          <w:lang w:val="en-US"/>
        </w:rPr>
        <w:t xml:space="preserve">Dynamic scheduling offers the support of TTI level switching between FDD and SDL. </w:t>
      </w:r>
    </w:p>
    <w:p w14:paraId="5B93740F" w14:textId="548CB371" w:rsidR="005062AE" w:rsidRPr="00650707" w:rsidRDefault="005062AE" w:rsidP="005062AE">
      <w:pPr>
        <w:spacing w:before="240" w:after="240"/>
        <w:jc w:val="both"/>
        <w:rPr>
          <w:rFonts w:ascii="Times New Roman" w:eastAsia="SimSun" w:hAnsi="Times New Roman" w:cs="Times New Roman"/>
          <w:b/>
          <w:i/>
          <w:lang w:eastAsia="zh-CN"/>
        </w:rPr>
      </w:pPr>
      <w:r w:rsidRPr="00650707">
        <w:rPr>
          <w:rFonts w:ascii="Times New Roman" w:eastAsia="SimSun" w:hAnsi="Times New Roman" w:cs="Times New Roman"/>
          <w:b/>
          <w:i/>
          <w:lang w:eastAsia="zh-CN"/>
        </w:rPr>
        <w:t xml:space="preserve">Proposal </w:t>
      </w:r>
      <w:r w:rsidR="003054FC">
        <w:rPr>
          <w:rFonts w:ascii="Times New Roman" w:eastAsia="SimSun" w:hAnsi="Times New Roman" w:cs="Times New Roman"/>
          <w:b/>
          <w:i/>
          <w:lang w:eastAsia="zh-CN"/>
        </w:rPr>
        <w:t>3</w:t>
      </w:r>
      <w:r w:rsidRPr="00650707">
        <w:rPr>
          <w:rFonts w:ascii="Times New Roman" w:eastAsia="SimSun" w:hAnsi="Times New Roman" w:cs="Times New Roman"/>
          <w:b/>
          <w:i/>
          <w:lang w:eastAsia="zh-CN"/>
        </w:rPr>
        <w:t>: Support activation of semi-static FDD/SDL switching pattern upon RRC configuration.</w:t>
      </w:r>
    </w:p>
    <w:p w14:paraId="42D85CE8" w14:textId="30223192" w:rsidR="005062AE" w:rsidRPr="00650707" w:rsidRDefault="005062AE" w:rsidP="005062AE">
      <w:pPr>
        <w:spacing w:before="240" w:after="240"/>
        <w:jc w:val="both"/>
        <w:rPr>
          <w:rFonts w:ascii="Times New Roman Bold" w:eastAsia="SimSun" w:hAnsi="Times New Roman Bold" w:cs="Times New Roman"/>
          <w:b/>
          <w:i/>
          <w:lang w:eastAsia="zh-CN"/>
        </w:rPr>
      </w:pPr>
      <w:r w:rsidRPr="00650707">
        <w:rPr>
          <w:rFonts w:ascii="Times New Roman" w:eastAsia="SimSun" w:hAnsi="Times New Roman" w:cs="Times New Roman"/>
          <w:b/>
          <w:i/>
          <w:lang w:eastAsia="zh-CN"/>
        </w:rPr>
        <w:t xml:space="preserve">Proposal </w:t>
      </w:r>
      <w:r w:rsidR="003054FC">
        <w:rPr>
          <w:rFonts w:ascii="Times New Roman" w:eastAsia="SimSun" w:hAnsi="Times New Roman" w:cs="Times New Roman"/>
          <w:b/>
          <w:i/>
          <w:lang w:eastAsia="zh-CN"/>
        </w:rPr>
        <w:t>4</w:t>
      </w:r>
      <w:r w:rsidRPr="00650707">
        <w:rPr>
          <w:rFonts w:ascii="Times New Roman" w:eastAsia="SimSun" w:hAnsi="Times New Roman" w:cs="Times New Roman"/>
          <w:b/>
          <w:i/>
          <w:lang w:eastAsia="zh-CN"/>
        </w:rPr>
        <w:t>: Support</w:t>
      </w:r>
      <w:r w:rsidRPr="00650707">
        <w:rPr>
          <w:rFonts w:ascii="Times New Roman Bold" w:eastAsia="SimSun" w:hAnsi="Times New Roman Bold" w:cs="Times New Roman"/>
          <w:b/>
          <w:i/>
          <w:lang w:eastAsia="zh-CN"/>
        </w:rPr>
        <w:t xml:space="preserve"> dynamic activation of semi-static FDD/SDL switching pattern </w:t>
      </w:r>
      <w:r w:rsidR="00786F2A" w:rsidRPr="00650707">
        <w:rPr>
          <w:rFonts w:ascii="Times New Roman Bold" w:eastAsia="SimSun" w:hAnsi="Times New Roman Bold" w:cs="Times New Roman"/>
          <w:b/>
          <w:i/>
          <w:lang w:eastAsia="zh-CN"/>
        </w:rPr>
        <w:t xml:space="preserve">after </w:t>
      </w:r>
      <w:r w:rsidRPr="00650707">
        <w:rPr>
          <w:rFonts w:ascii="Times New Roman Bold" w:eastAsia="SimSun" w:hAnsi="Times New Roman Bold" w:cs="Times New Roman"/>
          <w:b/>
          <w:i/>
          <w:lang w:eastAsia="zh-CN"/>
        </w:rPr>
        <w:t>RRC configuration</w:t>
      </w:r>
      <w:r w:rsidR="00786F2A" w:rsidRPr="00650707">
        <w:rPr>
          <w:rFonts w:ascii="Times New Roman Bold" w:eastAsia="SimSun" w:hAnsi="Times New Roman Bold" w:cs="Times New Roman"/>
          <w:b/>
          <w:i/>
          <w:lang w:eastAsia="zh-CN"/>
        </w:rPr>
        <w:t>.</w:t>
      </w:r>
    </w:p>
    <w:p w14:paraId="46A0E92C" w14:textId="2508E0A7" w:rsidR="0017350E" w:rsidRPr="0017350E" w:rsidRDefault="00685F1A" w:rsidP="0017350E">
      <w:pPr>
        <w:spacing w:before="240" w:after="240"/>
        <w:jc w:val="both"/>
        <w:rPr>
          <w:rFonts w:ascii="Times New Roman" w:eastAsia="SimSun" w:hAnsi="Times New Roman" w:cs="Times New Roman"/>
          <w:bCs/>
          <w:iCs/>
          <w:lang w:eastAsia="zh-CN"/>
        </w:rPr>
      </w:pPr>
      <w:r w:rsidRPr="00650707">
        <w:rPr>
          <w:rFonts w:ascii="Times New Roman" w:eastAsia="SimSun" w:hAnsi="Times New Roman" w:cs="Times New Roman"/>
          <w:bCs/>
          <w:iCs/>
          <w:lang w:eastAsia="zh-CN"/>
        </w:rPr>
        <w:t xml:space="preserve">DCI may include an indicator to update to one of the Special Slot configurations.  </w:t>
      </w:r>
      <w:r w:rsidR="0017350E" w:rsidRPr="0017350E">
        <w:rPr>
          <w:rFonts w:ascii="Times New Roman" w:eastAsia="SimSun" w:hAnsi="Times New Roman" w:cs="Times New Roman"/>
          <w:bCs/>
          <w:iCs/>
          <w:lang w:eastAsia="zh-CN"/>
        </w:rPr>
        <w:t xml:space="preserve">DCI can </w:t>
      </w:r>
      <w:r w:rsidR="0017350E" w:rsidRPr="00650707">
        <w:rPr>
          <w:rFonts w:ascii="Times New Roman" w:eastAsia="SimSun" w:hAnsi="Times New Roman" w:cs="Times New Roman"/>
          <w:bCs/>
          <w:iCs/>
          <w:lang w:eastAsia="zh-CN"/>
        </w:rPr>
        <w:t xml:space="preserve">also </w:t>
      </w:r>
      <w:r w:rsidR="0017350E" w:rsidRPr="0017350E">
        <w:rPr>
          <w:rFonts w:ascii="Times New Roman" w:eastAsia="SimSun" w:hAnsi="Times New Roman" w:cs="Times New Roman"/>
          <w:bCs/>
          <w:iCs/>
          <w:lang w:eastAsia="zh-CN"/>
        </w:rPr>
        <w:t xml:space="preserve">support </w:t>
      </w:r>
      <w:r w:rsidRPr="00650707">
        <w:rPr>
          <w:rFonts w:ascii="Times New Roman" w:eastAsia="SimSun" w:hAnsi="Times New Roman" w:cs="Times New Roman"/>
          <w:bCs/>
          <w:iCs/>
          <w:lang w:eastAsia="zh-CN"/>
        </w:rPr>
        <w:t>cross</w:t>
      </w:r>
      <w:r w:rsidR="0017350E" w:rsidRPr="0017350E">
        <w:rPr>
          <w:rFonts w:ascii="Times New Roman" w:eastAsia="SimSun" w:hAnsi="Times New Roman" w:cs="Times New Roman"/>
          <w:bCs/>
          <w:iCs/>
          <w:lang w:eastAsia="zh-CN"/>
        </w:rPr>
        <w:t>-carrier scheduling</w:t>
      </w:r>
      <w:r w:rsidR="0017350E" w:rsidRPr="00650707">
        <w:rPr>
          <w:rFonts w:ascii="Times New Roman" w:eastAsia="SimSun" w:hAnsi="Times New Roman" w:cs="Times New Roman"/>
          <w:bCs/>
          <w:iCs/>
          <w:lang w:eastAsia="zh-CN"/>
        </w:rPr>
        <w:t>.</w:t>
      </w:r>
      <w:r w:rsidR="0017350E" w:rsidRPr="0017350E">
        <w:rPr>
          <w:rFonts w:ascii="Times New Roman" w:eastAsia="SimSun" w:hAnsi="Times New Roman" w:cs="Times New Roman"/>
          <w:bCs/>
          <w:iCs/>
          <w:lang w:eastAsia="zh-CN"/>
        </w:rPr>
        <w:t xml:space="preserve"> UE monitors the PCell on the FDD carrier for PDCCH DCI, which has scheduling information for both (FDD and SDL) bands with SDL carrier indication field (0,1), e.g. ‘1’ is used to indicate the scheduling information is for SDL carrier. </w:t>
      </w:r>
    </w:p>
    <w:p w14:paraId="6BA92AF6" w14:textId="520FF7CC" w:rsidR="0017350E" w:rsidRPr="0017350E" w:rsidRDefault="0017350E" w:rsidP="0017350E">
      <w:pPr>
        <w:spacing w:before="240" w:after="240"/>
        <w:jc w:val="both"/>
        <w:rPr>
          <w:rFonts w:ascii="Times New Roman" w:eastAsia="SimSun" w:hAnsi="Times New Roman" w:cs="Times New Roman"/>
          <w:bCs/>
          <w:iCs/>
          <w:lang w:eastAsia="zh-CN"/>
        </w:rPr>
      </w:pPr>
      <w:r w:rsidRPr="0017350E">
        <w:rPr>
          <w:rFonts w:ascii="Times New Roman" w:eastAsia="SimSun" w:hAnsi="Times New Roman" w:cs="Times New Roman"/>
          <w:bCs/>
          <w:iCs/>
          <w:lang w:eastAsia="zh-CN"/>
        </w:rPr>
        <w:t xml:space="preserve">DCI </w:t>
      </w:r>
      <w:r w:rsidR="00813756" w:rsidRPr="00650707">
        <w:rPr>
          <w:rFonts w:ascii="Times New Roman" w:eastAsia="SimSun" w:hAnsi="Times New Roman" w:cs="Times New Roman"/>
          <w:bCs/>
          <w:iCs/>
          <w:lang w:eastAsia="zh-CN"/>
        </w:rPr>
        <w:t>w</w:t>
      </w:r>
      <w:r w:rsidRPr="0017350E">
        <w:rPr>
          <w:rFonts w:ascii="Times New Roman" w:eastAsia="SimSun" w:hAnsi="Times New Roman" w:cs="Times New Roman"/>
          <w:bCs/>
          <w:iCs/>
          <w:lang w:eastAsia="zh-CN"/>
        </w:rPr>
        <w:t xml:space="preserve">hich schedules SDL carrier from FDD carrier </w:t>
      </w:r>
      <w:r w:rsidR="00813756" w:rsidRPr="00650707">
        <w:rPr>
          <w:rFonts w:ascii="Times New Roman" w:eastAsia="SimSun" w:hAnsi="Times New Roman" w:cs="Times New Roman"/>
          <w:bCs/>
          <w:iCs/>
          <w:lang w:eastAsia="zh-CN"/>
        </w:rPr>
        <w:t>may</w:t>
      </w:r>
      <w:r w:rsidRPr="0017350E">
        <w:rPr>
          <w:rFonts w:ascii="Times New Roman" w:eastAsia="SimSun" w:hAnsi="Times New Roman" w:cs="Times New Roman"/>
          <w:bCs/>
          <w:iCs/>
          <w:lang w:eastAsia="zh-CN"/>
        </w:rPr>
        <w:t xml:space="preserve"> support multi-slot </w:t>
      </w:r>
      <w:r w:rsidR="00813756" w:rsidRPr="00650707">
        <w:rPr>
          <w:rFonts w:ascii="Times New Roman" w:eastAsia="SimSun" w:hAnsi="Times New Roman" w:cs="Times New Roman"/>
          <w:bCs/>
          <w:iCs/>
          <w:lang w:eastAsia="zh-CN"/>
        </w:rPr>
        <w:t>and</w:t>
      </w:r>
      <w:r w:rsidRPr="0017350E">
        <w:rPr>
          <w:rFonts w:ascii="Times New Roman" w:eastAsia="SimSun" w:hAnsi="Times New Roman" w:cs="Times New Roman"/>
          <w:bCs/>
          <w:iCs/>
          <w:lang w:eastAsia="zh-CN"/>
        </w:rPr>
        <w:t xml:space="preserve"> multi-carrier scheduling simultaneously</w:t>
      </w:r>
      <w:r w:rsidR="00685F1A" w:rsidRPr="00650707">
        <w:rPr>
          <w:rFonts w:ascii="Times New Roman" w:eastAsia="SimSun" w:hAnsi="Times New Roman" w:cs="Times New Roman"/>
          <w:bCs/>
          <w:iCs/>
          <w:lang w:eastAsia="zh-CN"/>
        </w:rPr>
        <w:t>.</w:t>
      </w:r>
      <w:r w:rsidRPr="0017350E">
        <w:rPr>
          <w:rFonts w:ascii="Times New Roman" w:eastAsia="SimSun" w:hAnsi="Times New Roman" w:cs="Times New Roman"/>
          <w:bCs/>
          <w:iCs/>
          <w:lang w:eastAsia="zh-CN"/>
        </w:rPr>
        <w:t xml:space="preserve"> It is beneficial to apply </w:t>
      </w:r>
      <w:r w:rsidR="00685F1A" w:rsidRPr="00650707">
        <w:rPr>
          <w:rFonts w:ascii="Times New Roman" w:eastAsia="SimSun" w:hAnsi="Times New Roman" w:cs="Times New Roman"/>
          <w:bCs/>
          <w:iCs/>
          <w:lang w:eastAsia="zh-CN"/>
        </w:rPr>
        <w:t xml:space="preserve">common </w:t>
      </w:r>
      <w:r w:rsidRPr="0017350E">
        <w:rPr>
          <w:rFonts w:ascii="Times New Roman" w:eastAsia="SimSun" w:hAnsi="Times New Roman" w:cs="Times New Roman"/>
          <w:bCs/>
          <w:iCs/>
          <w:lang w:eastAsia="zh-CN"/>
        </w:rPr>
        <w:t>scheduling information</w:t>
      </w:r>
      <w:r w:rsidR="00685F1A" w:rsidRPr="00650707">
        <w:t xml:space="preserve"> </w:t>
      </w:r>
      <w:r w:rsidR="00685F1A" w:rsidRPr="00650707">
        <w:rPr>
          <w:rFonts w:ascii="Times New Roman" w:eastAsia="SimSun" w:hAnsi="Times New Roman" w:cs="Times New Roman"/>
          <w:bCs/>
          <w:iCs/>
          <w:lang w:eastAsia="zh-CN"/>
        </w:rPr>
        <w:t>which reduces the payload size.</w:t>
      </w:r>
      <w:r w:rsidRPr="0017350E">
        <w:rPr>
          <w:rFonts w:ascii="Times New Roman" w:eastAsia="SimSun" w:hAnsi="Times New Roman" w:cs="Times New Roman"/>
          <w:bCs/>
          <w:iCs/>
          <w:lang w:eastAsia="zh-CN"/>
        </w:rPr>
        <w:t xml:space="preserve">, e.g. common FDRA, MCS for all scheduled PDSCH on FDD cell and SDL cell per DCI. </w:t>
      </w:r>
    </w:p>
    <w:p w14:paraId="53E200B3" w14:textId="6C4CEEFE" w:rsidR="0017350E" w:rsidRPr="00650707" w:rsidRDefault="00685F1A" w:rsidP="0017350E">
      <w:pPr>
        <w:spacing w:before="240" w:after="240"/>
        <w:jc w:val="both"/>
        <w:rPr>
          <w:rFonts w:ascii="Times New Roman" w:eastAsia="SimSun" w:hAnsi="Times New Roman" w:cs="Times New Roman"/>
          <w:b/>
          <w:i/>
          <w:lang w:eastAsia="zh-CN"/>
        </w:rPr>
      </w:pPr>
      <w:r w:rsidRPr="00650707">
        <w:rPr>
          <w:rFonts w:ascii="Times New Roman" w:eastAsia="SimSun" w:hAnsi="Times New Roman" w:cs="Times New Roman"/>
          <w:b/>
          <w:i/>
          <w:lang w:eastAsia="zh-CN"/>
        </w:rPr>
        <w:t xml:space="preserve">Proposal 5: DCI may include an indicator to update to one of the Special Slot configurations.  </w:t>
      </w:r>
    </w:p>
    <w:p w14:paraId="0826A17F" w14:textId="726E9E96" w:rsidR="00685F1A" w:rsidRPr="0017350E" w:rsidRDefault="00685F1A" w:rsidP="0017350E">
      <w:pPr>
        <w:spacing w:before="240" w:after="240"/>
        <w:jc w:val="both"/>
        <w:rPr>
          <w:rFonts w:ascii="Times New Roman" w:eastAsia="SimSun" w:hAnsi="Times New Roman" w:cs="Times New Roman"/>
          <w:b/>
          <w:i/>
          <w:lang w:eastAsia="zh-CN"/>
        </w:rPr>
      </w:pPr>
      <w:r w:rsidRPr="00650707">
        <w:rPr>
          <w:rFonts w:ascii="Times New Roman" w:eastAsia="SimSun" w:hAnsi="Times New Roman" w:cs="Times New Roman"/>
          <w:b/>
          <w:i/>
          <w:lang w:eastAsia="zh-CN"/>
        </w:rPr>
        <w:t>Proposal 6: DCI can support cross-carrier scheduling with SDL carrier indication.</w:t>
      </w:r>
    </w:p>
    <w:p w14:paraId="4505B2C4" w14:textId="1E371A8D" w:rsidR="00685F1A" w:rsidRPr="0017350E" w:rsidRDefault="00685F1A" w:rsidP="00685F1A">
      <w:pPr>
        <w:spacing w:before="240" w:after="240"/>
        <w:jc w:val="both"/>
        <w:rPr>
          <w:rFonts w:ascii="Times New Roman" w:eastAsia="SimSun" w:hAnsi="Times New Roman" w:cs="Times New Roman"/>
          <w:b/>
          <w:i/>
          <w:lang w:eastAsia="zh-CN"/>
        </w:rPr>
      </w:pPr>
      <w:r w:rsidRPr="00650707">
        <w:rPr>
          <w:rFonts w:ascii="Times New Roman" w:eastAsia="SimSun" w:hAnsi="Times New Roman" w:cs="Times New Roman"/>
          <w:b/>
          <w:i/>
          <w:lang w:eastAsia="zh-CN"/>
        </w:rPr>
        <w:t>Proposal 7: DCI which schedules SDL carrier from FDD carrier may support multi-slot and multi-carrier scheduling with common scheduling information.</w:t>
      </w:r>
    </w:p>
    <w:p w14:paraId="526BA441" w14:textId="77777777" w:rsidR="001E7564" w:rsidRPr="008D3757" w:rsidRDefault="001E7564" w:rsidP="001E7564">
      <w:pPr>
        <w:spacing w:before="240" w:after="240"/>
        <w:jc w:val="center"/>
        <w:rPr>
          <w:rFonts w:ascii="Times New Roman" w:eastAsia="SimSun" w:hAnsi="Times New Roman" w:cs="Times New Roman"/>
          <w:bCs/>
          <w:iCs/>
          <w:sz w:val="22"/>
          <w:szCs w:val="22"/>
          <w:lang w:eastAsia="zh-CN"/>
        </w:rPr>
      </w:pPr>
      <w:bookmarkStart w:id="8" w:name="_Ref124589665"/>
      <w:bookmarkStart w:id="9" w:name="_Ref71620620"/>
      <w:bookmarkStart w:id="10" w:name="_Ref124671424"/>
      <w:bookmarkEnd w:id="6"/>
      <w:bookmarkEnd w:id="7"/>
    </w:p>
    <w:p w14:paraId="64141AB6" w14:textId="003AD2C7" w:rsidR="00364697" w:rsidRPr="0094004F" w:rsidRDefault="00364697" w:rsidP="00A94799">
      <w:pPr>
        <w:pStyle w:val="Heading1"/>
        <w:spacing w:before="240" w:after="240"/>
        <w:ind w:left="578" w:hanging="578"/>
        <w:rPr>
          <w:lang w:eastAsia="zh-CN"/>
        </w:rPr>
      </w:pPr>
      <w:r w:rsidRPr="0094004F">
        <w:rPr>
          <w:lang w:eastAsia="zh-CN"/>
        </w:rPr>
        <w:t>Conclusion</w:t>
      </w:r>
    </w:p>
    <w:p w14:paraId="72519D1E" w14:textId="00CE7ED2" w:rsidR="00364697" w:rsidRPr="00650707" w:rsidRDefault="00364697" w:rsidP="00A94799">
      <w:pPr>
        <w:spacing w:before="240" w:after="240"/>
        <w:jc w:val="both"/>
        <w:rPr>
          <w:rFonts w:ascii="Times New Roman" w:hAnsi="Times New Roman" w:cs="Times New Roman"/>
          <w:lang w:eastAsia="zh-CN"/>
        </w:rPr>
      </w:pPr>
      <w:r w:rsidRPr="00650707">
        <w:rPr>
          <w:rFonts w:ascii="Times New Roman" w:hAnsi="Times New Roman" w:cs="Times New Roman"/>
          <w:lang w:eastAsia="zh-CN"/>
        </w:rPr>
        <w:t xml:space="preserve">From the discussion, we </w:t>
      </w:r>
      <w:r w:rsidR="001F66C1" w:rsidRPr="00650707">
        <w:rPr>
          <w:rFonts w:ascii="Times New Roman" w:hAnsi="Times New Roman" w:cs="Times New Roman"/>
          <w:lang w:eastAsia="zh-CN"/>
        </w:rPr>
        <w:t xml:space="preserve">discussed the issues to support low band carrier aggregation via switching and </w:t>
      </w:r>
      <w:r w:rsidRPr="00650707">
        <w:rPr>
          <w:rFonts w:ascii="Times New Roman" w:hAnsi="Times New Roman" w:cs="Times New Roman"/>
          <w:lang w:eastAsia="zh-CN"/>
        </w:rPr>
        <w:t xml:space="preserve">have </w:t>
      </w:r>
      <w:r w:rsidR="00DC5333" w:rsidRPr="00650707">
        <w:rPr>
          <w:rFonts w:ascii="Times New Roman" w:hAnsi="Times New Roman" w:cs="Times New Roman"/>
          <w:lang w:eastAsia="zh-CN"/>
        </w:rPr>
        <w:t xml:space="preserve">the </w:t>
      </w:r>
      <w:r w:rsidRPr="00650707">
        <w:rPr>
          <w:rFonts w:ascii="Times New Roman" w:hAnsi="Times New Roman" w:cs="Times New Roman"/>
          <w:lang w:eastAsia="zh-CN"/>
        </w:rPr>
        <w:t>following proposals</w:t>
      </w:r>
      <w:r w:rsidR="005E7BB1" w:rsidRPr="00650707">
        <w:rPr>
          <w:rFonts w:ascii="Times New Roman" w:hAnsi="Times New Roman" w:cs="Times New Roman"/>
          <w:lang w:eastAsia="zh-CN"/>
        </w:rPr>
        <w:t>:</w:t>
      </w:r>
    </w:p>
    <w:bookmarkEnd w:id="4"/>
    <w:bookmarkEnd w:id="8"/>
    <w:bookmarkEnd w:id="9"/>
    <w:bookmarkEnd w:id="10"/>
    <w:p w14:paraId="07A14DF0" w14:textId="77777777" w:rsidR="003054FC" w:rsidRPr="003054FC" w:rsidRDefault="003054FC" w:rsidP="003054FC">
      <w:pPr>
        <w:rPr>
          <w:rFonts w:ascii="Times New Roman" w:hAnsi="Times New Roman" w:cs="Times New Roman"/>
          <w:b/>
          <w:bCs/>
          <w:i/>
          <w:iCs/>
        </w:rPr>
      </w:pPr>
      <w:r w:rsidRPr="003054FC">
        <w:rPr>
          <w:rFonts w:ascii="Times New Roman" w:hAnsi="Times New Roman" w:cs="Times New Roman" w:hint="eastAsia"/>
          <w:b/>
          <w:bCs/>
          <w:i/>
          <w:iCs/>
        </w:rPr>
        <w:t>Proposal 1: Within switching gap from SDL to FDD in SDL slot, UE should be able to perform FDD UL transmissions from the first symbol of FDD UL slot after switching from SDL carrier to FDD carrier.</w:t>
      </w:r>
    </w:p>
    <w:p w14:paraId="6EFFAA2D" w14:textId="3CE4930A" w:rsidR="00BF59CD" w:rsidRPr="00BF59CD" w:rsidRDefault="00BF59CD" w:rsidP="00BF59CD">
      <w:pPr>
        <w:rPr>
          <w:rFonts w:ascii="Times New Roman" w:hAnsi="Times New Roman" w:cs="Times New Roman"/>
          <w:b/>
          <w:bCs/>
          <w:i/>
          <w:iCs/>
        </w:rPr>
      </w:pPr>
      <w:r w:rsidRPr="00BF59CD">
        <w:rPr>
          <w:rFonts w:ascii="Times New Roman" w:hAnsi="Times New Roman" w:cs="Times New Roman" w:hint="eastAsia"/>
          <w:b/>
          <w:bCs/>
          <w:i/>
          <w:iCs/>
        </w:rPr>
        <w:t xml:space="preserve">Proposal </w:t>
      </w:r>
      <w:r w:rsidR="003054FC">
        <w:rPr>
          <w:rFonts w:ascii="Times New Roman" w:hAnsi="Times New Roman" w:cs="Times New Roman"/>
          <w:b/>
          <w:bCs/>
          <w:i/>
          <w:iCs/>
        </w:rPr>
        <w:t>2</w:t>
      </w:r>
      <w:r w:rsidRPr="00BF59CD">
        <w:rPr>
          <w:rFonts w:ascii="Times New Roman" w:hAnsi="Times New Roman" w:cs="Times New Roman" w:hint="eastAsia"/>
          <w:b/>
          <w:bCs/>
          <w:i/>
          <w:iCs/>
        </w:rPr>
        <w:t xml:space="preserve">: For switching from FDD carrier to SDL carrier, select Alt 3 </w:t>
      </w:r>
      <w:r w:rsidRPr="00BF59CD">
        <w:rPr>
          <w:rFonts w:ascii="Times New Roman" w:hAnsi="Times New Roman" w:cs="Times New Roman"/>
          <w:b/>
          <w:bCs/>
          <w:i/>
          <w:iCs/>
        </w:rPr>
        <w:t>“</w:t>
      </w:r>
      <w:r w:rsidRPr="00BF59CD">
        <w:rPr>
          <w:rFonts w:ascii="Times New Roman" w:hAnsi="Times New Roman" w:cs="Times New Roman" w:hint="eastAsia"/>
          <w:b/>
          <w:bCs/>
          <w:i/>
          <w:iCs/>
        </w:rPr>
        <w:t>Switching gap is always assumed at the SDL carrier</w:t>
      </w:r>
      <w:r w:rsidRPr="00BF59CD">
        <w:rPr>
          <w:rFonts w:ascii="Times New Roman" w:hAnsi="Times New Roman" w:cs="Times New Roman"/>
          <w:b/>
          <w:bCs/>
          <w:i/>
          <w:iCs/>
        </w:rPr>
        <w:t>”</w:t>
      </w:r>
      <w:r w:rsidRPr="00BF59CD">
        <w:rPr>
          <w:rFonts w:ascii="Times New Roman" w:hAnsi="Times New Roman" w:cs="Times New Roman" w:hint="eastAsia"/>
          <w:b/>
          <w:bCs/>
          <w:i/>
          <w:iCs/>
        </w:rPr>
        <w:t>.</w:t>
      </w:r>
    </w:p>
    <w:p w14:paraId="2EC0F820" w14:textId="4EB7860D" w:rsidR="00CD24E1" w:rsidRPr="00650707" w:rsidRDefault="00CD24E1" w:rsidP="00CD24E1">
      <w:pPr>
        <w:spacing w:before="240" w:after="240"/>
        <w:jc w:val="both"/>
        <w:rPr>
          <w:rFonts w:ascii="Times New Roman" w:eastAsia="SimSun" w:hAnsi="Times New Roman" w:cs="Times New Roman"/>
          <w:b/>
          <w:i/>
          <w:lang w:eastAsia="zh-CN"/>
        </w:rPr>
      </w:pPr>
      <w:r w:rsidRPr="00650707">
        <w:rPr>
          <w:rFonts w:ascii="Times New Roman" w:eastAsia="SimSun" w:hAnsi="Times New Roman" w:cs="Times New Roman"/>
          <w:b/>
          <w:i/>
          <w:lang w:eastAsia="zh-CN"/>
        </w:rPr>
        <w:lastRenderedPageBreak/>
        <w:t xml:space="preserve">Proposal </w:t>
      </w:r>
      <w:r w:rsidR="003054FC">
        <w:rPr>
          <w:rFonts w:ascii="Times New Roman" w:eastAsia="SimSun" w:hAnsi="Times New Roman" w:cs="Times New Roman"/>
          <w:b/>
          <w:i/>
          <w:lang w:eastAsia="zh-CN"/>
        </w:rPr>
        <w:t>3</w:t>
      </w:r>
      <w:r w:rsidRPr="00650707">
        <w:rPr>
          <w:rFonts w:ascii="Times New Roman" w:eastAsia="SimSun" w:hAnsi="Times New Roman" w:cs="Times New Roman"/>
          <w:b/>
          <w:i/>
          <w:lang w:eastAsia="zh-CN"/>
        </w:rPr>
        <w:t>: Support activation of semi-static FDD/SDL switching pattern upon RRC configuration.</w:t>
      </w:r>
    </w:p>
    <w:p w14:paraId="3BFBB90C" w14:textId="66246B40" w:rsidR="00CD24E1" w:rsidRPr="00650707" w:rsidRDefault="00CD24E1" w:rsidP="00CD24E1">
      <w:pPr>
        <w:spacing w:before="240" w:after="240"/>
        <w:jc w:val="both"/>
        <w:rPr>
          <w:rFonts w:ascii="Times New Roman Bold" w:eastAsia="SimSun" w:hAnsi="Times New Roman Bold" w:cs="Times New Roman"/>
          <w:b/>
          <w:i/>
          <w:lang w:eastAsia="zh-CN"/>
        </w:rPr>
      </w:pPr>
      <w:r w:rsidRPr="00650707">
        <w:rPr>
          <w:rFonts w:ascii="Times New Roman" w:eastAsia="SimSun" w:hAnsi="Times New Roman" w:cs="Times New Roman"/>
          <w:b/>
          <w:i/>
          <w:lang w:eastAsia="zh-CN"/>
        </w:rPr>
        <w:t xml:space="preserve">Proposal </w:t>
      </w:r>
      <w:r w:rsidR="003054FC">
        <w:rPr>
          <w:rFonts w:ascii="Times New Roman" w:eastAsia="SimSun" w:hAnsi="Times New Roman" w:cs="Times New Roman"/>
          <w:b/>
          <w:i/>
          <w:lang w:eastAsia="zh-CN"/>
        </w:rPr>
        <w:t>4</w:t>
      </w:r>
      <w:r w:rsidRPr="00650707">
        <w:rPr>
          <w:rFonts w:ascii="Times New Roman" w:eastAsia="SimSun" w:hAnsi="Times New Roman" w:cs="Times New Roman"/>
          <w:b/>
          <w:i/>
          <w:lang w:eastAsia="zh-CN"/>
        </w:rPr>
        <w:t>: Support</w:t>
      </w:r>
      <w:r w:rsidRPr="00650707">
        <w:rPr>
          <w:rFonts w:ascii="Times New Roman Bold" w:eastAsia="SimSun" w:hAnsi="Times New Roman Bold" w:cs="Times New Roman"/>
          <w:b/>
          <w:i/>
          <w:lang w:eastAsia="zh-CN"/>
        </w:rPr>
        <w:t xml:space="preserve"> dynamic activation of semi-static FDD/SDL switching pattern after RRC configuration.</w:t>
      </w:r>
    </w:p>
    <w:p w14:paraId="10F015D0" w14:textId="374E5212" w:rsidR="007B0C80" w:rsidRPr="00685F1A" w:rsidRDefault="007B0C80" w:rsidP="007B0C80">
      <w:pPr>
        <w:spacing w:before="240" w:after="240"/>
        <w:jc w:val="both"/>
        <w:rPr>
          <w:rFonts w:ascii="Times New Roman" w:eastAsia="SimSun" w:hAnsi="Times New Roman" w:cs="Times New Roman"/>
          <w:b/>
          <w:i/>
          <w:lang w:eastAsia="zh-CN"/>
        </w:rPr>
      </w:pPr>
      <w:r w:rsidRPr="00685F1A">
        <w:rPr>
          <w:rFonts w:ascii="Times New Roman" w:eastAsia="SimSun" w:hAnsi="Times New Roman" w:cs="Times New Roman"/>
          <w:b/>
          <w:i/>
          <w:lang w:eastAsia="zh-CN"/>
        </w:rPr>
        <w:t xml:space="preserve">Proposal </w:t>
      </w:r>
      <w:r w:rsidR="003054FC">
        <w:rPr>
          <w:rFonts w:ascii="Times New Roman" w:eastAsia="SimSun" w:hAnsi="Times New Roman" w:cs="Times New Roman"/>
          <w:b/>
          <w:i/>
          <w:lang w:eastAsia="zh-CN"/>
        </w:rPr>
        <w:t>5</w:t>
      </w:r>
      <w:r w:rsidRPr="00685F1A">
        <w:rPr>
          <w:rFonts w:ascii="Times New Roman" w:eastAsia="SimSun" w:hAnsi="Times New Roman" w:cs="Times New Roman"/>
          <w:b/>
          <w:i/>
          <w:lang w:eastAsia="zh-CN"/>
        </w:rPr>
        <w:t xml:space="preserve">: DCI may include an indicator to update to one of the Special Slot configurations.  </w:t>
      </w:r>
    </w:p>
    <w:p w14:paraId="6581782B" w14:textId="2CBC8B76" w:rsidR="007B0C80" w:rsidRPr="0017350E" w:rsidRDefault="007B0C80" w:rsidP="007B0C80">
      <w:pPr>
        <w:spacing w:before="240" w:after="240"/>
        <w:jc w:val="both"/>
        <w:rPr>
          <w:rFonts w:ascii="Times New Roman" w:eastAsia="SimSun" w:hAnsi="Times New Roman" w:cs="Times New Roman"/>
          <w:b/>
          <w:i/>
          <w:lang w:eastAsia="zh-CN"/>
        </w:rPr>
      </w:pPr>
      <w:r w:rsidRPr="00685F1A">
        <w:rPr>
          <w:rFonts w:ascii="Times New Roman" w:eastAsia="SimSun" w:hAnsi="Times New Roman" w:cs="Times New Roman"/>
          <w:b/>
          <w:i/>
          <w:lang w:eastAsia="zh-CN"/>
        </w:rPr>
        <w:t xml:space="preserve">Proposal </w:t>
      </w:r>
      <w:r w:rsidR="003054FC">
        <w:rPr>
          <w:rFonts w:ascii="Times New Roman" w:eastAsia="SimSun" w:hAnsi="Times New Roman" w:cs="Times New Roman"/>
          <w:b/>
          <w:i/>
          <w:lang w:eastAsia="zh-CN"/>
        </w:rPr>
        <w:t>6</w:t>
      </w:r>
      <w:r w:rsidRPr="00685F1A">
        <w:rPr>
          <w:rFonts w:ascii="Times New Roman" w:eastAsia="SimSun" w:hAnsi="Times New Roman" w:cs="Times New Roman"/>
          <w:b/>
          <w:i/>
          <w:lang w:eastAsia="zh-CN"/>
        </w:rPr>
        <w:t>: DCI can support cross-carrier scheduling with SDL carrier indication.</w:t>
      </w:r>
    </w:p>
    <w:p w14:paraId="32EBFEE3" w14:textId="04094896" w:rsidR="007B0C80" w:rsidRPr="0017350E" w:rsidRDefault="007B0C80" w:rsidP="007B0C80">
      <w:pPr>
        <w:spacing w:before="240" w:after="240"/>
        <w:jc w:val="both"/>
        <w:rPr>
          <w:rFonts w:ascii="Times New Roman" w:eastAsia="SimSun" w:hAnsi="Times New Roman" w:cs="Times New Roman"/>
          <w:b/>
          <w:i/>
          <w:lang w:eastAsia="zh-CN"/>
        </w:rPr>
      </w:pPr>
      <w:r w:rsidRPr="00685F1A">
        <w:rPr>
          <w:rFonts w:ascii="Times New Roman" w:eastAsia="SimSun" w:hAnsi="Times New Roman" w:cs="Times New Roman"/>
          <w:b/>
          <w:i/>
          <w:lang w:eastAsia="zh-CN"/>
        </w:rPr>
        <w:t xml:space="preserve">Proposal </w:t>
      </w:r>
      <w:r w:rsidR="003054FC">
        <w:rPr>
          <w:rFonts w:ascii="Times New Roman" w:eastAsia="SimSun" w:hAnsi="Times New Roman" w:cs="Times New Roman"/>
          <w:b/>
          <w:i/>
          <w:lang w:eastAsia="zh-CN"/>
        </w:rPr>
        <w:t>7</w:t>
      </w:r>
      <w:r w:rsidRPr="00685F1A">
        <w:rPr>
          <w:rFonts w:ascii="Times New Roman" w:eastAsia="SimSun" w:hAnsi="Times New Roman" w:cs="Times New Roman"/>
          <w:b/>
          <w:i/>
          <w:lang w:eastAsia="zh-CN"/>
        </w:rPr>
        <w:t>: DCI which schedules SDL carrier from FDD carrier may support multi-slot and multi-carrier scheduling with common scheduling information.</w:t>
      </w:r>
    </w:p>
    <w:p w14:paraId="7D8E8247" w14:textId="77777777" w:rsidR="00C96E0C" w:rsidRPr="00F924A1" w:rsidRDefault="00C96E0C" w:rsidP="00C96E0C">
      <w:pPr>
        <w:spacing w:before="240" w:after="240"/>
        <w:jc w:val="both"/>
        <w:rPr>
          <w:rFonts w:ascii="Times New Roman Bold" w:eastAsia="SimSun" w:hAnsi="Times New Roman Bold" w:cs="Times New Roman"/>
          <w:b/>
          <w:iCs/>
          <w:sz w:val="22"/>
          <w:szCs w:val="22"/>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48C7D6F4" w14:textId="76931FB6" w:rsidR="00440253" w:rsidRDefault="00440253" w:rsidP="008809B5">
      <w:pPr>
        <w:pStyle w:val="BodyText"/>
        <w:rPr>
          <w:sz w:val="22"/>
          <w:szCs w:val="22"/>
        </w:rPr>
      </w:pPr>
      <w:r w:rsidRPr="00A723B2">
        <w:rPr>
          <w:sz w:val="22"/>
          <w:szCs w:val="22"/>
        </w:rPr>
        <w:t>[</w:t>
      </w:r>
      <w:r>
        <w:rPr>
          <w:sz w:val="22"/>
          <w:szCs w:val="22"/>
        </w:rPr>
        <w:t>1</w:t>
      </w:r>
      <w:r w:rsidRPr="00A723B2">
        <w:rPr>
          <w:sz w:val="22"/>
          <w:szCs w:val="22"/>
        </w:rPr>
        <w:t xml:space="preserve">] </w:t>
      </w:r>
      <w:r w:rsidR="00470F25" w:rsidRPr="00470F25">
        <w:rPr>
          <w:sz w:val="22"/>
          <w:szCs w:val="22"/>
        </w:rPr>
        <w:t>RP-250247</w:t>
      </w:r>
      <w:r w:rsidR="00D51CDD" w:rsidRPr="00D51CDD">
        <w:t xml:space="preserve"> </w:t>
      </w:r>
      <w:r w:rsidR="00D51CDD">
        <w:tab/>
      </w:r>
      <w:r w:rsidR="00D51CDD" w:rsidRPr="00D51CDD">
        <w:rPr>
          <w:sz w:val="22"/>
          <w:szCs w:val="22"/>
        </w:rPr>
        <w:t>Revised WID on Low NR band carrier aggregation via switching</w:t>
      </w:r>
      <w:r w:rsidR="002D4C09">
        <w:rPr>
          <w:sz w:val="22"/>
          <w:szCs w:val="22"/>
        </w:rPr>
        <w:t>, AT&amp;T</w:t>
      </w:r>
    </w:p>
    <w:p w14:paraId="680945E8" w14:textId="6CB8B360" w:rsidR="00440253" w:rsidRPr="0094004F" w:rsidRDefault="00344FAE" w:rsidP="0021786D">
      <w:pPr>
        <w:pStyle w:val="BodyText"/>
        <w:rPr>
          <w:sz w:val="22"/>
          <w:szCs w:val="22"/>
        </w:rPr>
      </w:pPr>
      <w:r w:rsidRPr="00344FAE">
        <w:rPr>
          <w:sz w:val="22"/>
          <w:szCs w:val="22"/>
        </w:rPr>
        <w:t>[2]</w:t>
      </w:r>
      <w:r>
        <w:rPr>
          <w:sz w:val="22"/>
          <w:szCs w:val="22"/>
        </w:rPr>
        <w:t xml:space="preserve"> </w:t>
      </w:r>
      <w:r w:rsidRPr="00344FAE">
        <w:rPr>
          <w:sz w:val="22"/>
          <w:szCs w:val="22"/>
        </w:rPr>
        <w:t>Chair’s Notes RAN1#120bis</w:t>
      </w:r>
    </w:p>
    <w:sectPr w:rsidR="00440253" w:rsidRPr="0094004F" w:rsidSect="00417C2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83DB4" w14:textId="77777777" w:rsidR="009100A8" w:rsidRDefault="009100A8" w:rsidP="00731E07">
      <w:r>
        <w:separator/>
      </w:r>
    </w:p>
  </w:endnote>
  <w:endnote w:type="continuationSeparator" w:id="0">
    <w:p w14:paraId="781E227B" w14:textId="77777777" w:rsidR="009100A8" w:rsidRDefault="009100A8"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8B309" w14:textId="77777777" w:rsidR="009100A8" w:rsidRDefault="009100A8" w:rsidP="00731E07">
      <w:r>
        <w:separator/>
      </w:r>
    </w:p>
  </w:footnote>
  <w:footnote w:type="continuationSeparator" w:id="0">
    <w:p w14:paraId="13603D4D" w14:textId="77777777" w:rsidR="009100A8" w:rsidRDefault="009100A8"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3A83"/>
    <w:multiLevelType w:val="hybridMultilevel"/>
    <w:tmpl w:val="EEDE7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07915"/>
    <w:multiLevelType w:val="hybridMultilevel"/>
    <w:tmpl w:val="B5FC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902AE3"/>
    <w:multiLevelType w:val="hybridMultilevel"/>
    <w:tmpl w:val="FAE6D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B7CC0"/>
    <w:multiLevelType w:val="hybridMultilevel"/>
    <w:tmpl w:val="5CF8FC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3E5EFE"/>
    <w:multiLevelType w:val="hybridMultilevel"/>
    <w:tmpl w:val="9C4A704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6E2D"/>
    <w:multiLevelType w:val="hybridMultilevel"/>
    <w:tmpl w:val="508211F6"/>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8DA339C">
      <w:start w:val="2"/>
      <w:numFmt w:val="bullet"/>
      <w:lvlText w:val="-"/>
      <w:lvlJc w:val="left"/>
      <w:pPr>
        <w:ind w:left="1352" w:hanging="360"/>
      </w:pPr>
      <w:rPr>
        <w:rFonts w:ascii="Times New Roman" w:eastAsia="SimSun" w:hAnsi="Times New Roman" w:cs="Times New Roman" w:hint="default"/>
      </w:rPr>
    </w:lvl>
    <w:lvl w:ilvl="3" w:tplc="FFFFFFFF">
      <w:start w:val="1"/>
      <w:numFmt w:val="bullet"/>
      <w:lvlText w:val=""/>
      <w:lvlJc w:val="left"/>
      <w:pPr>
        <w:ind w:left="1919" w:hanging="360"/>
      </w:pPr>
      <w:rPr>
        <w:rFonts w:ascii="Symbol" w:hAnsi="Symbol" w:hint="default"/>
      </w:rPr>
    </w:lvl>
    <w:lvl w:ilvl="4" w:tplc="FFFFFFFF">
      <w:start w:val="1"/>
      <w:numFmt w:val="bullet"/>
      <w:lvlText w:val="o"/>
      <w:lvlJc w:val="left"/>
      <w:pPr>
        <w:ind w:left="2345"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5D37F0"/>
    <w:multiLevelType w:val="hybridMultilevel"/>
    <w:tmpl w:val="4F4EE94A"/>
    <w:lvl w:ilvl="0" w:tplc="3F8EAB12">
      <w:start w:val="1"/>
      <w:numFmt w:val="bullet"/>
      <w:lvlText w:val=""/>
      <w:lvlJc w:val="left"/>
      <w:pPr>
        <w:tabs>
          <w:tab w:val="num" w:pos="720"/>
        </w:tabs>
        <w:ind w:left="720" w:hanging="360"/>
      </w:pPr>
      <w:rPr>
        <w:rFonts w:ascii="Wingdings" w:hAnsi="Wingdings" w:hint="default"/>
      </w:rPr>
    </w:lvl>
    <w:lvl w:ilvl="1" w:tplc="86CEED30" w:tentative="1">
      <w:start w:val="1"/>
      <w:numFmt w:val="bullet"/>
      <w:lvlText w:val=""/>
      <w:lvlJc w:val="left"/>
      <w:pPr>
        <w:tabs>
          <w:tab w:val="num" w:pos="1440"/>
        </w:tabs>
        <w:ind w:left="1440" w:hanging="360"/>
      </w:pPr>
      <w:rPr>
        <w:rFonts w:ascii="Wingdings" w:hAnsi="Wingdings" w:hint="default"/>
      </w:rPr>
    </w:lvl>
    <w:lvl w:ilvl="2" w:tplc="E15289D6">
      <w:start w:val="1"/>
      <w:numFmt w:val="bullet"/>
      <w:lvlText w:val=""/>
      <w:lvlJc w:val="left"/>
      <w:pPr>
        <w:tabs>
          <w:tab w:val="num" w:pos="2160"/>
        </w:tabs>
        <w:ind w:left="2160" w:hanging="360"/>
      </w:pPr>
      <w:rPr>
        <w:rFonts w:ascii="Wingdings" w:hAnsi="Wingdings" w:hint="default"/>
      </w:rPr>
    </w:lvl>
    <w:lvl w:ilvl="3" w:tplc="3CF02F3E" w:tentative="1">
      <w:start w:val="1"/>
      <w:numFmt w:val="bullet"/>
      <w:lvlText w:val=""/>
      <w:lvlJc w:val="left"/>
      <w:pPr>
        <w:tabs>
          <w:tab w:val="num" w:pos="2880"/>
        </w:tabs>
        <w:ind w:left="2880" w:hanging="360"/>
      </w:pPr>
      <w:rPr>
        <w:rFonts w:ascii="Wingdings" w:hAnsi="Wingdings" w:hint="default"/>
      </w:rPr>
    </w:lvl>
    <w:lvl w:ilvl="4" w:tplc="ED86D638" w:tentative="1">
      <w:start w:val="1"/>
      <w:numFmt w:val="bullet"/>
      <w:lvlText w:val=""/>
      <w:lvlJc w:val="left"/>
      <w:pPr>
        <w:tabs>
          <w:tab w:val="num" w:pos="3600"/>
        </w:tabs>
        <w:ind w:left="3600" w:hanging="360"/>
      </w:pPr>
      <w:rPr>
        <w:rFonts w:ascii="Wingdings" w:hAnsi="Wingdings" w:hint="default"/>
      </w:rPr>
    </w:lvl>
    <w:lvl w:ilvl="5" w:tplc="DF7C46A4" w:tentative="1">
      <w:start w:val="1"/>
      <w:numFmt w:val="bullet"/>
      <w:lvlText w:val=""/>
      <w:lvlJc w:val="left"/>
      <w:pPr>
        <w:tabs>
          <w:tab w:val="num" w:pos="4320"/>
        </w:tabs>
        <w:ind w:left="4320" w:hanging="360"/>
      </w:pPr>
      <w:rPr>
        <w:rFonts w:ascii="Wingdings" w:hAnsi="Wingdings" w:hint="default"/>
      </w:rPr>
    </w:lvl>
    <w:lvl w:ilvl="6" w:tplc="63AE6E26" w:tentative="1">
      <w:start w:val="1"/>
      <w:numFmt w:val="bullet"/>
      <w:lvlText w:val=""/>
      <w:lvlJc w:val="left"/>
      <w:pPr>
        <w:tabs>
          <w:tab w:val="num" w:pos="5040"/>
        </w:tabs>
        <w:ind w:left="5040" w:hanging="360"/>
      </w:pPr>
      <w:rPr>
        <w:rFonts w:ascii="Wingdings" w:hAnsi="Wingdings" w:hint="default"/>
      </w:rPr>
    </w:lvl>
    <w:lvl w:ilvl="7" w:tplc="3FCC013A" w:tentative="1">
      <w:start w:val="1"/>
      <w:numFmt w:val="bullet"/>
      <w:lvlText w:val=""/>
      <w:lvlJc w:val="left"/>
      <w:pPr>
        <w:tabs>
          <w:tab w:val="num" w:pos="5760"/>
        </w:tabs>
        <w:ind w:left="5760" w:hanging="360"/>
      </w:pPr>
      <w:rPr>
        <w:rFonts w:ascii="Wingdings" w:hAnsi="Wingdings" w:hint="default"/>
      </w:rPr>
    </w:lvl>
    <w:lvl w:ilvl="8" w:tplc="54049A5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C8216F"/>
    <w:multiLevelType w:val="hybridMultilevel"/>
    <w:tmpl w:val="AAFE44A2"/>
    <w:lvl w:ilvl="0" w:tplc="5AE6B188">
      <w:start w:val="1"/>
      <w:numFmt w:val="bullet"/>
      <w:lvlText w:val="•"/>
      <w:lvlJc w:val="left"/>
      <w:pPr>
        <w:tabs>
          <w:tab w:val="num" w:pos="720"/>
        </w:tabs>
        <w:ind w:left="720" w:hanging="360"/>
      </w:pPr>
      <w:rPr>
        <w:rFonts w:ascii="Arial" w:hAnsi="Arial" w:hint="default"/>
      </w:rPr>
    </w:lvl>
    <w:lvl w:ilvl="1" w:tplc="59A81B9A" w:tentative="1">
      <w:start w:val="1"/>
      <w:numFmt w:val="bullet"/>
      <w:lvlText w:val="•"/>
      <w:lvlJc w:val="left"/>
      <w:pPr>
        <w:tabs>
          <w:tab w:val="num" w:pos="1440"/>
        </w:tabs>
        <w:ind w:left="1440" w:hanging="360"/>
      </w:pPr>
      <w:rPr>
        <w:rFonts w:ascii="Arial" w:hAnsi="Arial" w:hint="default"/>
      </w:rPr>
    </w:lvl>
    <w:lvl w:ilvl="2" w:tplc="3B9A02EE" w:tentative="1">
      <w:start w:val="1"/>
      <w:numFmt w:val="bullet"/>
      <w:lvlText w:val="•"/>
      <w:lvlJc w:val="left"/>
      <w:pPr>
        <w:tabs>
          <w:tab w:val="num" w:pos="2160"/>
        </w:tabs>
        <w:ind w:left="2160" w:hanging="360"/>
      </w:pPr>
      <w:rPr>
        <w:rFonts w:ascii="Arial" w:hAnsi="Arial" w:hint="default"/>
      </w:rPr>
    </w:lvl>
    <w:lvl w:ilvl="3" w:tplc="E7288B30" w:tentative="1">
      <w:start w:val="1"/>
      <w:numFmt w:val="bullet"/>
      <w:lvlText w:val="•"/>
      <w:lvlJc w:val="left"/>
      <w:pPr>
        <w:tabs>
          <w:tab w:val="num" w:pos="2880"/>
        </w:tabs>
        <w:ind w:left="2880" w:hanging="360"/>
      </w:pPr>
      <w:rPr>
        <w:rFonts w:ascii="Arial" w:hAnsi="Arial" w:hint="default"/>
      </w:rPr>
    </w:lvl>
    <w:lvl w:ilvl="4" w:tplc="52BA01F6" w:tentative="1">
      <w:start w:val="1"/>
      <w:numFmt w:val="bullet"/>
      <w:lvlText w:val="•"/>
      <w:lvlJc w:val="left"/>
      <w:pPr>
        <w:tabs>
          <w:tab w:val="num" w:pos="3600"/>
        </w:tabs>
        <w:ind w:left="3600" w:hanging="360"/>
      </w:pPr>
      <w:rPr>
        <w:rFonts w:ascii="Arial" w:hAnsi="Arial" w:hint="default"/>
      </w:rPr>
    </w:lvl>
    <w:lvl w:ilvl="5" w:tplc="97761D58" w:tentative="1">
      <w:start w:val="1"/>
      <w:numFmt w:val="bullet"/>
      <w:lvlText w:val="•"/>
      <w:lvlJc w:val="left"/>
      <w:pPr>
        <w:tabs>
          <w:tab w:val="num" w:pos="4320"/>
        </w:tabs>
        <w:ind w:left="4320" w:hanging="360"/>
      </w:pPr>
      <w:rPr>
        <w:rFonts w:ascii="Arial" w:hAnsi="Arial" w:hint="default"/>
      </w:rPr>
    </w:lvl>
    <w:lvl w:ilvl="6" w:tplc="41220594" w:tentative="1">
      <w:start w:val="1"/>
      <w:numFmt w:val="bullet"/>
      <w:lvlText w:val="•"/>
      <w:lvlJc w:val="left"/>
      <w:pPr>
        <w:tabs>
          <w:tab w:val="num" w:pos="5040"/>
        </w:tabs>
        <w:ind w:left="5040" w:hanging="360"/>
      </w:pPr>
      <w:rPr>
        <w:rFonts w:ascii="Arial" w:hAnsi="Arial" w:hint="default"/>
      </w:rPr>
    </w:lvl>
    <w:lvl w:ilvl="7" w:tplc="71E0354C" w:tentative="1">
      <w:start w:val="1"/>
      <w:numFmt w:val="bullet"/>
      <w:lvlText w:val="•"/>
      <w:lvlJc w:val="left"/>
      <w:pPr>
        <w:tabs>
          <w:tab w:val="num" w:pos="5760"/>
        </w:tabs>
        <w:ind w:left="5760" w:hanging="360"/>
      </w:pPr>
      <w:rPr>
        <w:rFonts w:ascii="Arial" w:hAnsi="Arial" w:hint="default"/>
      </w:rPr>
    </w:lvl>
    <w:lvl w:ilvl="8" w:tplc="0206DA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5F402B"/>
    <w:multiLevelType w:val="hybridMultilevel"/>
    <w:tmpl w:val="EDB60D54"/>
    <w:lvl w:ilvl="0" w:tplc="99C0ED88">
      <w:start w:val="1"/>
      <w:numFmt w:val="bullet"/>
      <w:lvlText w:val=""/>
      <w:lvlJc w:val="left"/>
      <w:pPr>
        <w:tabs>
          <w:tab w:val="num" w:pos="720"/>
        </w:tabs>
        <w:ind w:left="720" w:hanging="360"/>
      </w:pPr>
      <w:rPr>
        <w:rFonts w:ascii="Wingdings" w:hAnsi="Wingdings" w:hint="default"/>
      </w:rPr>
    </w:lvl>
    <w:lvl w:ilvl="1" w:tplc="2E2A7E9A" w:tentative="1">
      <w:start w:val="1"/>
      <w:numFmt w:val="bullet"/>
      <w:lvlText w:val=""/>
      <w:lvlJc w:val="left"/>
      <w:pPr>
        <w:tabs>
          <w:tab w:val="num" w:pos="1440"/>
        </w:tabs>
        <w:ind w:left="1440" w:hanging="360"/>
      </w:pPr>
      <w:rPr>
        <w:rFonts w:ascii="Wingdings" w:hAnsi="Wingdings" w:hint="default"/>
      </w:rPr>
    </w:lvl>
    <w:lvl w:ilvl="2" w:tplc="5164EF54" w:tentative="1">
      <w:start w:val="1"/>
      <w:numFmt w:val="bullet"/>
      <w:lvlText w:val=""/>
      <w:lvlJc w:val="left"/>
      <w:pPr>
        <w:tabs>
          <w:tab w:val="num" w:pos="2160"/>
        </w:tabs>
        <w:ind w:left="2160" w:hanging="360"/>
      </w:pPr>
      <w:rPr>
        <w:rFonts w:ascii="Wingdings" w:hAnsi="Wingdings" w:hint="default"/>
      </w:rPr>
    </w:lvl>
    <w:lvl w:ilvl="3" w:tplc="100E3874" w:tentative="1">
      <w:start w:val="1"/>
      <w:numFmt w:val="bullet"/>
      <w:lvlText w:val=""/>
      <w:lvlJc w:val="left"/>
      <w:pPr>
        <w:tabs>
          <w:tab w:val="num" w:pos="2880"/>
        </w:tabs>
        <w:ind w:left="2880" w:hanging="360"/>
      </w:pPr>
      <w:rPr>
        <w:rFonts w:ascii="Wingdings" w:hAnsi="Wingdings" w:hint="default"/>
      </w:rPr>
    </w:lvl>
    <w:lvl w:ilvl="4" w:tplc="481CF17E">
      <w:start w:val="1"/>
      <w:numFmt w:val="bullet"/>
      <w:lvlText w:val=""/>
      <w:lvlJc w:val="left"/>
      <w:pPr>
        <w:tabs>
          <w:tab w:val="num" w:pos="3600"/>
        </w:tabs>
        <w:ind w:left="3600" w:hanging="360"/>
      </w:pPr>
      <w:rPr>
        <w:rFonts w:ascii="Wingdings" w:hAnsi="Wingdings" w:hint="default"/>
      </w:rPr>
    </w:lvl>
    <w:lvl w:ilvl="5" w:tplc="07300E94" w:tentative="1">
      <w:start w:val="1"/>
      <w:numFmt w:val="bullet"/>
      <w:lvlText w:val=""/>
      <w:lvlJc w:val="left"/>
      <w:pPr>
        <w:tabs>
          <w:tab w:val="num" w:pos="4320"/>
        </w:tabs>
        <w:ind w:left="4320" w:hanging="360"/>
      </w:pPr>
      <w:rPr>
        <w:rFonts w:ascii="Wingdings" w:hAnsi="Wingdings" w:hint="default"/>
      </w:rPr>
    </w:lvl>
    <w:lvl w:ilvl="6" w:tplc="C15C887C" w:tentative="1">
      <w:start w:val="1"/>
      <w:numFmt w:val="bullet"/>
      <w:lvlText w:val=""/>
      <w:lvlJc w:val="left"/>
      <w:pPr>
        <w:tabs>
          <w:tab w:val="num" w:pos="5040"/>
        </w:tabs>
        <w:ind w:left="5040" w:hanging="360"/>
      </w:pPr>
      <w:rPr>
        <w:rFonts w:ascii="Wingdings" w:hAnsi="Wingdings" w:hint="default"/>
      </w:rPr>
    </w:lvl>
    <w:lvl w:ilvl="7" w:tplc="9134E50C" w:tentative="1">
      <w:start w:val="1"/>
      <w:numFmt w:val="bullet"/>
      <w:lvlText w:val=""/>
      <w:lvlJc w:val="left"/>
      <w:pPr>
        <w:tabs>
          <w:tab w:val="num" w:pos="5760"/>
        </w:tabs>
        <w:ind w:left="5760" w:hanging="360"/>
      </w:pPr>
      <w:rPr>
        <w:rFonts w:ascii="Wingdings" w:hAnsi="Wingdings" w:hint="default"/>
      </w:rPr>
    </w:lvl>
    <w:lvl w:ilvl="8" w:tplc="A5E4C12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2E6062"/>
    <w:multiLevelType w:val="hybridMultilevel"/>
    <w:tmpl w:val="A0FC4E6C"/>
    <w:lvl w:ilvl="0" w:tplc="D4F44C40">
      <w:start w:val="1"/>
      <w:numFmt w:val="bullet"/>
      <w:lvlText w:val=""/>
      <w:lvlJc w:val="left"/>
      <w:pPr>
        <w:tabs>
          <w:tab w:val="num" w:pos="720"/>
        </w:tabs>
        <w:ind w:left="720" w:hanging="360"/>
      </w:pPr>
      <w:rPr>
        <w:rFonts w:ascii="Wingdings" w:hAnsi="Wingdings" w:hint="default"/>
      </w:rPr>
    </w:lvl>
    <w:lvl w:ilvl="1" w:tplc="92740ADE" w:tentative="1">
      <w:start w:val="1"/>
      <w:numFmt w:val="bullet"/>
      <w:lvlText w:val=""/>
      <w:lvlJc w:val="left"/>
      <w:pPr>
        <w:tabs>
          <w:tab w:val="num" w:pos="1440"/>
        </w:tabs>
        <w:ind w:left="1440" w:hanging="360"/>
      </w:pPr>
      <w:rPr>
        <w:rFonts w:ascii="Wingdings" w:hAnsi="Wingdings" w:hint="default"/>
      </w:rPr>
    </w:lvl>
    <w:lvl w:ilvl="2" w:tplc="638C60CC" w:tentative="1">
      <w:start w:val="1"/>
      <w:numFmt w:val="bullet"/>
      <w:lvlText w:val=""/>
      <w:lvlJc w:val="left"/>
      <w:pPr>
        <w:tabs>
          <w:tab w:val="num" w:pos="2160"/>
        </w:tabs>
        <w:ind w:left="2160" w:hanging="360"/>
      </w:pPr>
      <w:rPr>
        <w:rFonts w:ascii="Wingdings" w:hAnsi="Wingdings" w:hint="default"/>
      </w:rPr>
    </w:lvl>
    <w:lvl w:ilvl="3" w:tplc="0750FFF2" w:tentative="1">
      <w:start w:val="1"/>
      <w:numFmt w:val="bullet"/>
      <w:lvlText w:val=""/>
      <w:lvlJc w:val="left"/>
      <w:pPr>
        <w:tabs>
          <w:tab w:val="num" w:pos="2880"/>
        </w:tabs>
        <w:ind w:left="2880" w:hanging="360"/>
      </w:pPr>
      <w:rPr>
        <w:rFonts w:ascii="Wingdings" w:hAnsi="Wingdings" w:hint="default"/>
      </w:rPr>
    </w:lvl>
    <w:lvl w:ilvl="4" w:tplc="7A605500" w:tentative="1">
      <w:start w:val="1"/>
      <w:numFmt w:val="bullet"/>
      <w:lvlText w:val=""/>
      <w:lvlJc w:val="left"/>
      <w:pPr>
        <w:tabs>
          <w:tab w:val="num" w:pos="3600"/>
        </w:tabs>
        <w:ind w:left="3600" w:hanging="360"/>
      </w:pPr>
      <w:rPr>
        <w:rFonts w:ascii="Wingdings" w:hAnsi="Wingdings" w:hint="default"/>
      </w:rPr>
    </w:lvl>
    <w:lvl w:ilvl="5" w:tplc="60A64146" w:tentative="1">
      <w:start w:val="1"/>
      <w:numFmt w:val="bullet"/>
      <w:lvlText w:val=""/>
      <w:lvlJc w:val="left"/>
      <w:pPr>
        <w:tabs>
          <w:tab w:val="num" w:pos="4320"/>
        </w:tabs>
        <w:ind w:left="4320" w:hanging="360"/>
      </w:pPr>
      <w:rPr>
        <w:rFonts w:ascii="Wingdings" w:hAnsi="Wingdings" w:hint="default"/>
      </w:rPr>
    </w:lvl>
    <w:lvl w:ilvl="6" w:tplc="797AAB50" w:tentative="1">
      <w:start w:val="1"/>
      <w:numFmt w:val="bullet"/>
      <w:lvlText w:val=""/>
      <w:lvlJc w:val="left"/>
      <w:pPr>
        <w:tabs>
          <w:tab w:val="num" w:pos="5040"/>
        </w:tabs>
        <w:ind w:left="5040" w:hanging="360"/>
      </w:pPr>
      <w:rPr>
        <w:rFonts w:ascii="Wingdings" w:hAnsi="Wingdings" w:hint="default"/>
      </w:rPr>
    </w:lvl>
    <w:lvl w:ilvl="7" w:tplc="B50C3F94" w:tentative="1">
      <w:start w:val="1"/>
      <w:numFmt w:val="bullet"/>
      <w:lvlText w:val=""/>
      <w:lvlJc w:val="left"/>
      <w:pPr>
        <w:tabs>
          <w:tab w:val="num" w:pos="5760"/>
        </w:tabs>
        <w:ind w:left="5760" w:hanging="360"/>
      </w:pPr>
      <w:rPr>
        <w:rFonts w:ascii="Wingdings" w:hAnsi="Wingdings" w:hint="default"/>
      </w:rPr>
    </w:lvl>
    <w:lvl w:ilvl="8" w:tplc="6EFE684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EB4D4B"/>
    <w:multiLevelType w:val="hybridMultilevel"/>
    <w:tmpl w:val="F202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FF40B7"/>
    <w:multiLevelType w:val="hybridMultilevel"/>
    <w:tmpl w:val="F7A64BBE"/>
    <w:lvl w:ilvl="0" w:tplc="24B6AED8">
      <w:start w:val="1"/>
      <w:numFmt w:val="bullet"/>
      <w:lvlText w:val="•"/>
      <w:lvlJc w:val="left"/>
      <w:pPr>
        <w:tabs>
          <w:tab w:val="num" w:pos="720"/>
        </w:tabs>
        <w:ind w:left="720" w:hanging="360"/>
      </w:pPr>
      <w:rPr>
        <w:rFonts w:ascii="Arial" w:hAnsi="Arial" w:hint="default"/>
      </w:rPr>
    </w:lvl>
    <w:lvl w:ilvl="1" w:tplc="0F348A68" w:tentative="1">
      <w:start w:val="1"/>
      <w:numFmt w:val="bullet"/>
      <w:lvlText w:val="•"/>
      <w:lvlJc w:val="left"/>
      <w:pPr>
        <w:tabs>
          <w:tab w:val="num" w:pos="1440"/>
        </w:tabs>
        <w:ind w:left="1440" w:hanging="360"/>
      </w:pPr>
      <w:rPr>
        <w:rFonts w:ascii="Arial" w:hAnsi="Arial" w:hint="default"/>
      </w:rPr>
    </w:lvl>
    <w:lvl w:ilvl="2" w:tplc="602AB0DE" w:tentative="1">
      <w:start w:val="1"/>
      <w:numFmt w:val="bullet"/>
      <w:lvlText w:val="•"/>
      <w:lvlJc w:val="left"/>
      <w:pPr>
        <w:tabs>
          <w:tab w:val="num" w:pos="2160"/>
        </w:tabs>
        <w:ind w:left="2160" w:hanging="360"/>
      </w:pPr>
      <w:rPr>
        <w:rFonts w:ascii="Arial" w:hAnsi="Arial" w:hint="default"/>
      </w:rPr>
    </w:lvl>
    <w:lvl w:ilvl="3" w:tplc="B4C20266" w:tentative="1">
      <w:start w:val="1"/>
      <w:numFmt w:val="bullet"/>
      <w:lvlText w:val="•"/>
      <w:lvlJc w:val="left"/>
      <w:pPr>
        <w:tabs>
          <w:tab w:val="num" w:pos="2880"/>
        </w:tabs>
        <w:ind w:left="2880" w:hanging="360"/>
      </w:pPr>
      <w:rPr>
        <w:rFonts w:ascii="Arial" w:hAnsi="Arial" w:hint="default"/>
      </w:rPr>
    </w:lvl>
    <w:lvl w:ilvl="4" w:tplc="3F30876A" w:tentative="1">
      <w:start w:val="1"/>
      <w:numFmt w:val="bullet"/>
      <w:lvlText w:val="•"/>
      <w:lvlJc w:val="left"/>
      <w:pPr>
        <w:tabs>
          <w:tab w:val="num" w:pos="3600"/>
        </w:tabs>
        <w:ind w:left="3600" w:hanging="360"/>
      </w:pPr>
      <w:rPr>
        <w:rFonts w:ascii="Arial" w:hAnsi="Arial" w:hint="default"/>
      </w:rPr>
    </w:lvl>
    <w:lvl w:ilvl="5" w:tplc="856CE66C" w:tentative="1">
      <w:start w:val="1"/>
      <w:numFmt w:val="bullet"/>
      <w:lvlText w:val="•"/>
      <w:lvlJc w:val="left"/>
      <w:pPr>
        <w:tabs>
          <w:tab w:val="num" w:pos="4320"/>
        </w:tabs>
        <w:ind w:left="4320" w:hanging="360"/>
      </w:pPr>
      <w:rPr>
        <w:rFonts w:ascii="Arial" w:hAnsi="Arial" w:hint="default"/>
      </w:rPr>
    </w:lvl>
    <w:lvl w:ilvl="6" w:tplc="7090ADC8" w:tentative="1">
      <w:start w:val="1"/>
      <w:numFmt w:val="bullet"/>
      <w:lvlText w:val="•"/>
      <w:lvlJc w:val="left"/>
      <w:pPr>
        <w:tabs>
          <w:tab w:val="num" w:pos="5040"/>
        </w:tabs>
        <w:ind w:left="5040" w:hanging="360"/>
      </w:pPr>
      <w:rPr>
        <w:rFonts w:ascii="Arial" w:hAnsi="Arial" w:hint="default"/>
      </w:rPr>
    </w:lvl>
    <w:lvl w:ilvl="7" w:tplc="52D63890" w:tentative="1">
      <w:start w:val="1"/>
      <w:numFmt w:val="bullet"/>
      <w:lvlText w:val="•"/>
      <w:lvlJc w:val="left"/>
      <w:pPr>
        <w:tabs>
          <w:tab w:val="num" w:pos="5760"/>
        </w:tabs>
        <w:ind w:left="5760" w:hanging="360"/>
      </w:pPr>
      <w:rPr>
        <w:rFonts w:ascii="Arial" w:hAnsi="Arial" w:hint="default"/>
      </w:rPr>
    </w:lvl>
    <w:lvl w:ilvl="8" w:tplc="4CC0B4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1B01FA"/>
    <w:multiLevelType w:val="hybridMultilevel"/>
    <w:tmpl w:val="0BD69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770D10"/>
    <w:multiLevelType w:val="hybridMultilevel"/>
    <w:tmpl w:val="F15E46B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8F65C6E"/>
    <w:multiLevelType w:val="hybridMultilevel"/>
    <w:tmpl w:val="873EF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63544F"/>
    <w:multiLevelType w:val="hybridMultilevel"/>
    <w:tmpl w:val="34900478"/>
    <w:lvl w:ilvl="0" w:tplc="D8FE4446">
      <w:start w:val="1"/>
      <w:numFmt w:val="bullet"/>
      <w:lvlText w:val=""/>
      <w:lvlJc w:val="left"/>
      <w:pPr>
        <w:tabs>
          <w:tab w:val="num" w:pos="720"/>
        </w:tabs>
        <w:ind w:left="720" w:hanging="360"/>
      </w:pPr>
      <w:rPr>
        <w:rFonts w:ascii="Wingdings" w:hAnsi="Wingdings" w:hint="default"/>
      </w:rPr>
    </w:lvl>
    <w:lvl w:ilvl="1" w:tplc="B1989D08" w:tentative="1">
      <w:start w:val="1"/>
      <w:numFmt w:val="bullet"/>
      <w:lvlText w:val=""/>
      <w:lvlJc w:val="left"/>
      <w:pPr>
        <w:tabs>
          <w:tab w:val="num" w:pos="1440"/>
        </w:tabs>
        <w:ind w:left="1440" w:hanging="360"/>
      </w:pPr>
      <w:rPr>
        <w:rFonts w:ascii="Wingdings" w:hAnsi="Wingdings" w:hint="default"/>
      </w:rPr>
    </w:lvl>
    <w:lvl w:ilvl="2" w:tplc="B0A663B6" w:tentative="1">
      <w:start w:val="1"/>
      <w:numFmt w:val="bullet"/>
      <w:lvlText w:val=""/>
      <w:lvlJc w:val="left"/>
      <w:pPr>
        <w:tabs>
          <w:tab w:val="num" w:pos="2160"/>
        </w:tabs>
        <w:ind w:left="2160" w:hanging="360"/>
      </w:pPr>
      <w:rPr>
        <w:rFonts w:ascii="Wingdings" w:hAnsi="Wingdings" w:hint="default"/>
      </w:rPr>
    </w:lvl>
    <w:lvl w:ilvl="3" w:tplc="AB7A1CC8" w:tentative="1">
      <w:start w:val="1"/>
      <w:numFmt w:val="bullet"/>
      <w:lvlText w:val=""/>
      <w:lvlJc w:val="left"/>
      <w:pPr>
        <w:tabs>
          <w:tab w:val="num" w:pos="2880"/>
        </w:tabs>
        <w:ind w:left="2880" w:hanging="360"/>
      </w:pPr>
      <w:rPr>
        <w:rFonts w:ascii="Wingdings" w:hAnsi="Wingdings" w:hint="default"/>
      </w:rPr>
    </w:lvl>
    <w:lvl w:ilvl="4" w:tplc="9C620B5E">
      <w:start w:val="1"/>
      <w:numFmt w:val="bullet"/>
      <w:lvlText w:val=""/>
      <w:lvlJc w:val="left"/>
      <w:pPr>
        <w:tabs>
          <w:tab w:val="num" w:pos="3600"/>
        </w:tabs>
        <w:ind w:left="3600" w:hanging="360"/>
      </w:pPr>
      <w:rPr>
        <w:rFonts w:ascii="Wingdings" w:hAnsi="Wingdings" w:hint="default"/>
      </w:rPr>
    </w:lvl>
    <w:lvl w:ilvl="5" w:tplc="5F9AFB72" w:tentative="1">
      <w:start w:val="1"/>
      <w:numFmt w:val="bullet"/>
      <w:lvlText w:val=""/>
      <w:lvlJc w:val="left"/>
      <w:pPr>
        <w:tabs>
          <w:tab w:val="num" w:pos="4320"/>
        </w:tabs>
        <w:ind w:left="4320" w:hanging="360"/>
      </w:pPr>
      <w:rPr>
        <w:rFonts w:ascii="Wingdings" w:hAnsi="Wingdings" w:hint="default"/>
      </w:rPr>
    </w:lvl>
    <w:lvl w:ilvl="6" w:tplc="0888C13E" w:tentative="1">
      <w:start w:val="1"/>
      <w:numFmt w:val="bullet"/>
      <w:lvlText w:val=""/>
      <w:lvlJc w:val="left"/>
      <w:pPr>
        <w:tabs>
          <w:tab w:val="num" w:pos="5040"/>
        </w:tabs>
        <w:ind w:left="5040" w:hanging="360"/>
      </w:pPr>
      <w:rPr>
        <w:rFonts w:ascii="Wingdings" w:hAnsi="Wingdings" w:hint="default"/>
      </w:rPr>
    </w:lvl>
    <w:lvl w:ilvl="7" w:tplc="FCDC3C1E" w:tentative="1">
      <w:start w:val="1"/>
      <w:numFmt w:val="bullet"/>
      <w:lvlText w:val=""/>
      <w:lvlJc w:val="left"/>
      <w:pPr>
        <w:tabs>
          <w:tab w:val="num" w:pos="5760"/>
        </w:tabs>
        <w:ind w:left="5760" w:hanging="360"/>
      </w:pPr>
      <w:rPr>
        <w:rFonts w:ascii="Wingdings" w:hAnsi="Wingdings" w:hint="default"/>
      </w:rPr>
    </w:lvl>
    <w:lvl w:ilvl="8" w:tplc="DB644BF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6857418"/>
    <w:multiLevelType w:val="hybridMultilevel"/>
    <w:tmpl w:val="95B02A2C"/>
    <w:lvl w:ilvl="0" w:tplc="C7581134">
      <w:start w:val="1"/>
      <w:numFmt w:val="bullet"/>
      <w:lvlText w:val=""/>
      <w:lvlJc w:val="left"/>
      <w:pPr>
        <w:ind w:left="1440" w:hanging="360"/>
      </w:pPr>
      <w:rPr>
        <w:rFonts w:ascii="Symbol" w:hAnsi="Symbol"/>
      </w:rPr>
    </w:lvl>
    <w:lvl w:ilvl="1" w:tplc="3558E308">
      <w:start w:val="1"/>
      <w:numFmt w:val="bullet"/>
      <w:lvlText w:val=""/>
      <w:lvlJc w:val="left"/>
      <w:pPr>
        <w:ind w:left="2160" w:hanging="360"/>
      </w:pPr>
      <w:rPr>
        <w:rFonts w:ascii="Symbol" w:hAnsi="Symbol"/>
      </w:rPr>
    </w:lvl>
    <w:lvl w:ilvl="2" w:tplc="00286172">
      <w:start w:val="1"/>
      <w:numFmt w:val="bullet"/>
      <w:lvlText w:val=""/>
      <w:lvlJc w:val="left"/>
      <w:pPr>
        <w:ind w:left="1440" w:hanging="360"/>
      </w:pPr>
      <w:rPr>
        <w:rFonts w:ascii="Symbol" w:hAnsi="Symbol"/>
      </w:rPr>
    </w:lvl>
    <w:lvl w:ilvl="3" w:tplc="B0A4FECC">
      <w:start w:val="1"/>
      <w:numFmt w:val="bullet"/>
      <w:lvlText w:val=""/>
      <w:lvlJc w:val="left"/>
      <w:pPr>
        <w:ind w:left="1440" w:hanging="360"/>
      </w:pPr>
      <w:rPr>
        <w:rFonts w:ascii="Symbol" w:hAnsi="Symbol"/>
      </w:rPr>
    </w:lvl>
    <w:lvl w:ilvl="4" w:tplc="8326AD10">
      <w:start w:val="1"/>
      <w:numFmt w:val="bullet"/>
      <w:lvlText w:val=""/>
      <w:lvlJc w:val="left"/>
      <w:pPr>
        <w:ind w:left="1440" w:hanging="360"/>
      </w:pPr>
      <w:rPr>
        <w:rFonts w:ascii="Symbol" w:hAnsi="Symbol"/>
      </w:rPr>
    </w:lvl>
    <w:lvl w:ilvl="5" w:tplc="C1CA1B24">
      <w:start w:val="1"/>
      <w:numFmt w:val="bullet"/>
      <w:lvlText w:val=""/>
      <w:lvlJc w:val="left"/>
      <w:pPr>
        <w:ind w:left="1440" w:hanging="360"/>
      </w:pPr>
      <w:rPr>
        <w:rFonts w:ascii="Symbol" w:hAnsi="Symbol"/>
      </w:rPr>
    </w:lvl>
    <w:lvl w:ilvl="6" w:tplc="90E6463E">
      <w:start w:val="1"/>
      <w:numFmt w:val="bullet"/>
      <w:lvlText w:val=""/>
      <w:lvlJc w:val="left"/>
      <w:pPr>
        <w:ind w:left="1440" w:hanging="360"/>
      </w:pPr>
      <w:rPr>
        <w:rFonts w:ascii="Symbol" w:hAnsi="Symbol"/>
      </w:rPr>
    </w:lvl>
    <w:lvl w:ilvl="7" w:tplc="07580AB8">
      <w:start w:val="1"/>
      <w:numFmt w:val="bullet"/>
      <w:lvlText w:val=""/>
      <w:lvlJc w:val="left"/>
      <w:pPr>
        <w:ind w:left="1440" w:hanging="360"/>
      </w:pPr>
      <w:rPr>
        <w:rFonts w:ascii="Symbol" w:hAnsi="Symbol"/>
      </w:rPr>
    </w:lvl>
    <w:lvl w:ilvl="8" w:tplc="7382D67E">
      <w:start w:val="1"/>
      <w:numFmt w:val="bullet"/>
      <w:lvlText w:val=""/>
      <w:lvlJc w:val="left"/>
      <w:pPr>
        <w:ind w:left="1440" w:hanging="360"/>
      </w:pPr>
      <w:rPr>
        <w:rFonts w:ascii="Symbol" w:hAnsi="Symbol"/>
      </w:rPr>
    </w:lvl>
  </w:abstractNum>
  <w:abstractNum w:abstractNumId="2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C56A68"/>
    <w:multiLevelType w:val="hybridMultilevel"/>
    <w:tmpl w:val="DA3CC95A"/>
    <w:lvl w:ilvl="0" w:tplc="F51E4AB8">
      <w:start w:val="1"/>
      <w:numFmt w:val="bullet"/>
      <w:lvlText w:val=""/>
      <w:lvlJc w:val="left"/>
      <w:pPr>
        <w:tabs>
          <w:tab w:val="num" w:pos="720"/>
        </w:tabs>
        <w:ind w:left="720" w:hanging="360"/>
      </w:pPr>
      <w:rPr>
        <w:rFonts w:ascii="Wingdings" w:hAnsi="Wingdings" w:hint="default"/>
      </w:rPr>
    </w:lvl>
    <w:lvl w:ilvl="1" w:tplc="CBF0351E" w:tentative="1">
      <w:start w:val="1"/>
      <w:numFmt w:val="bullet"/>
      <w:lvlText w:val=""/>
      <w:lvlJc w:val="left"/>
      <w:pPr>
        <w:tabs>
          <w:tab w:val="num" w:pos="1440"/>
        </w:tabs>
        <w:ind w:left="1440" w:hanging="360"/>
      </w:pPr>
      <w:rPr>
        <w:rFonts w:ascii="Wingdings" w:hAnsi="Wingdings" w:hint="default"/>
      </w:rPr>
    </w:lvl>
    <w:lvl w:ilvl="2" w:tplc="4A1A2CEC" w:tentative="1">
      <w:start w:val="1"/>
      <w:numFmt w:val="bullet"/>
      <w:lvlText w:val=""/>
      <w:lvlJc w:val="left"/>
      <w:pPr>
        <w:tabs>
          <w:tab w:val="num" w:pos="2160"/>
        </w:tabs>
        <w:ind w:left="2160" w:hanging="360"/>
      </w:pPr>
      <w:rPr>
        <w:rFonts w:ascii="Wingdings" w:hAnsi="Wingdings" w:hint="default"/>
      </w:rPr>
    </w:lvl>
    <w:lvl w:ilvl="3" w:tplc="D94A6704" w:tentative="1">
      <w:start w:val="1"/>
      <w:numFmt w:val="bullet"/>
      <w:lvlText w:val=""/>
      <w:lvlJc w:val="left"/>
      <w:pPr>
        <w:tabs>
          <w:tab w:val="num" w:pos="2880"/>
        </w:tabs>
        <w:ind w:left="2880" w:hanging="360"/>
      </w:pPr>
      <w:rPr>
        <w:rFonts w:ascii="Wingdings" w:hAnsi="Wingdings" w:hint="default"/>
      </w:rPr>
    </w:lvl>
    <w:lvl w:ilvl="4" w:tplc="743ECE84" w:tentative="1">
      <w:start w:val="1"/>
      <w:numFmt w:val="bullet"/>
      <w:lvlText w:val=""/>
      <w:lvlJc w:val="left"/>
      <w:pPr>
        <w:tabs>
          <w:tab w:val="num" w:pos="3600"/>
        </w:tabs>
        <w:ind w:left="3600" w:hanging="360"/>
      </w:pPr>
      <w:rPr>
        <w:rFonts w:ascii="Wingdings" w:hAnsi="Wingdings" w:hint="default"/>
      </w:rPr>
    </w:lvl>
    <w:lvl w:ilvl="5" w:tplc="1AB6304E" w:tentative="1">
      <w:start w:val="1"/>
      <w:numFmt w:val="bullet"/>
      <w:lvlText w:val=""/>
      <w:lvlJc w:val="left"/>
      <w:pPr>
        <w:tabs>
          <w:tab w:val="num" w:pos="4320"/>
        </w:tabs>
        <w:ind w:left="4320" w:hanging="360"/>
      </w:pPr>
      <w:rPr>
        <w:rFonts w:ascii="Wingdings" w:hAnsi="Wingdings" w:hint="default"/>
      </w:rPr>
    </w:lvl>
    <w:lvl w:ilvl="6" w:tplc="A132868C" w:tentative="1">
      <w:start w:val="1"/>
      <w:numFmt w:val="bullet"/>
      <w:lvlText w:val=""/>
      <w:lvlJc w:val="left"/>
      <w:pPr>
        <w:tabs>
          <w:tab w:val="num" w:pos="5040"/>
        </w:tabs>
        <w:ind w:left="5040" w:hanging="360"/>
      </w:pPr>
      <w:rPr>
        <w:rFonts w:ascii="Wingdings" w:hAnsi="Wingdings" w:hint="default"/>
      </w:rPr>
    </w:lvl>
    <w:lvl w:ilvl="7" w:tplc="36D03CC8" w:tentative="1">
      <w:start w:val="1"/>
      <w:numFmt w:val="bullet"/>
      <w:lvlText w:val=""/>
      <w:lvlJc w:val="left"/>
      <w:pPr>
        <w:tabs>
          <w:tab w:val="num" w:pos="5760"/>
        </w:tabs>
        <w:ind w:left="5760" w:hanging="360"/>
      </w:pPr>
      <w:rPr>
        <w:rFonts w:ascii="Wingdings" w:hAnsi="Wingdings" w:hint="default"/>
      </w:rPr>
    </w:lvl>
    <w:lvl w:ilvl="8" w:tplc="2E34F9A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05475274">
    <w:abstractNumId w:val="17"/>
  </w:num>
  <w:num w:numId="2" w16cid:durableId="1084035428">
    <w:abstractNumId w:val="25"/>
  </w:num>
  <w:num w:numId="3" w16cid:durableId="1147088077">
    <w:abstractNumId w:val="21"/>
  </w:num>
  <w:num w:numId="4" w16cid:durableId="824274728">
    <w:abstractNumId w:val="15"/>
  </w:num>
  <w:num w:numId="5" w16cid:durableId="345134468">
    <w:abstractNumId w:val="7"/>
  </w:num>
  <w:num w:numId="6" w16cid:durableId="301544126">
    <w:abstractNumId w:val="29"/>
  </w:num>
  <w:num w:numId="7" w16cid:durableId="444538355">
    <w:abstractNumId w:val="18"/>
  </w:num>
  <w:num w:numId="8" w16cid:durableId="538972822">
    <w:abstractNumId w:val="23"/>
  </w:num>
  <w:num w:numId="9" w16cid:durableId="554390412">
    <w:abstractNumId w:val="32"/>
  </w:num>
  <w:num w:numId="10" w16cid:durableId="398599687">
    <w:abstractNumId w:val="12"/>
  </w:num>
  <w:num w:numId="11" w16cid:durableId="1014455258">
    <w:abstractNumId w:val="0"/>
  </w:num>
  <w:num w:numId="12" w16cid:durableId="2005081201">
    <w:abstractNumId w:val="5"/>
  </w:num>
  <w:num w:numId="13" w16cid:durableId="726883290">
    <w:abstractNumId w:val="28"/>
  </w:num>
  <w:num w:numId="14" w16cid:durableId="398747674">
    <w:abstractNumId w:val="3"/>
  </w:num>
  <w:num w:numId="15" w16cid:durableId="1921744515">
    <w:abstractNumId w:val="26"/>
  </w:num>
  <w:num w:numId="16" w16cid:durableId="1580287447">
    <w:abstractNumId w:val="30"/>
  </w:num>
  <w:num w:numId="17" w16cid:durableId="721249617">
    <w:abstractNumId w:val="16"/>
  </w:num>
  <w:num w:numId="18" w16cid:durableId="683629584">
    <w:abstractNumId w:val="4"/>
  </w:num>
  <w:num w:numId="19" w16cid:durableId="1526215846">
    <w:abstractNumId w:val="22"/>
  </w:num>
  <w:num w:numId="20" w16cid:durableId="1293944388">
    <w:abstractNumId w:val="1"/>
  </w:num>
  <w:num w:numId="21" w16cid:durableId="1687712277">
    <w:abstractNumId w:val="27"/>
  </w:num>
  <w:num w:numId="22" w16cid:durableId="389959543">
    <w:abstractNumId w:val="17"/>
    <w:lvlOverride w:ilvl="0">
      <w:startOverride w:val="2"/>
    </w:lvlOverride>
    <w:lvlOverride w:ilvl="1">
      <w:startOverride w:val="1"/>
    </w:lvlOverride>
  </w:num>
  <w:num w:numId="23" w16cid:durableId="1648394210">
    <w:abstractNumId w:val="11"/>
  </w:num>
  <w:num w:numId="24" w16cid:durableId="1706324603">
    <w:abstractNumId w:val="9"/>
  </w:num>
  <w:num w:numId="25" w16cid:durableId="330061561">
    <w:abstractNumId w:val="8"/>
  </w:num>
  <w:num w:numId="26" w16cid:durableId="1920359600">
    <w:abstractNumId w:val="10"/>
  </w:num>
  <w:num w:numId="27" w16cid:durableId="1231888534">
    <w:abstractNumId w:val="31"/>
  </w:num>
  <w:num w:numId="28" w16cid:durableId="905608537">
    <w:abstractNumId w:val="13"/>
  </w:num>
  <w:num w:numId="29" w16cid:durableId="518542058">
    <w:abstractNumId w:val="24"/>
  </w:num>
  <w:num w:numId="30" w16cid:durableId="301808276">
    <w:abstractNumId w:val="2"/>
  </w:num>
  <w:num w:numId="31" w16cid:durableId="2121602414">
    <w:abstractNumId w:val="20"/>
  </w:num>
  <w:num w:numId="32" w16cid:durableId="1199315615">
    <w:abstractNumId w:val="19"/>
  </w:num>
  <w:num w:numId="33" w16cid:durableId="1688478788">
    <w:abstractNumId w:val="6"/>
  </w:num>
  <w:num w:numId="34" w16cid:durableId="14833139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4CF6"/>
    <w:rsid w:val="000071C8"/>
    <w:rsid w:val="0001222D"/>
    <w:rsid w:val="00013383"/>
    <w:rsid w:val="00014C45"/>
    <w:rsid w:val="00014D7F"/>
    <w:rsid w:val="00015E4F"/>
    <w:rsid w:val="0001648A"/>
    <w:rsid w:val="0001671D"/>
    <w:rsid w:val="00016F2B"/>
    <w:rsid w:val="00017103"/>
    <w:rsid w:val="00020A1F"/>
    <w:rsid w:val="00021185"/>
    <w:rsid w:val="000321AA"/>
    <w:rsid w:val="0003311D"/>
    <w:rsid w:val="000342F0"/>
    <w:rsid w:val="0003446D"/>
    <w:rsid w:val="000346F0"/>
    <w:rsid w:val="00035BC6"/>
    <w:rsid w:val="0003775E"/>
    <w:rsid w:val="00037AB5"/>
    <w:rsid w:val="00041414"/>
    <w:rsid w:val="00042907"/>
    <w:rsid w:val="000447C1"/>
    <w:rsid w:val="00044AC6"/>
    <w:rsid w:val="0004500E"/>
    <w:rsid w:val="00045E18"/>
    <w:rsid w:val="0004705F"/>
    <w:rsid w:val="000507E6"/>
    <w:rsid w:val="000514BF"/>
    <w:rsid w:val="00051A8E"/>
    <w:rsid w:val="00052DA4"/>
    <w:rsid w:val="00055146"/>
    <w:rsid w:val="00056E72"/>
    <w:rsid w:val="000570BA"/>
    <w:rsid w:val="00060EE8"/>
    <w:rsid w:val="00061FB6"/>
    <w:rsid w:val="000624AB"/>
    <w:rsid w:val="00064D33"/>
    <w:rsid w:val="00065824"/>
    <w:rsid w:val="00065E65"/>
    <w:rsid w:val="00065F41"/>
    <w:rsid w:val="000664CA"/>
    <w:rsid w:val="00066583"/>
    <w:rsid w:val="00066AB9"/>
    <w:rsid w:val="00067036"/>
    <w:rsid w:val="0007012F"/>
    <w:rsid w:val="00071256"/>
    <w:rsid w:val="000714B3"/>
    <w:rsid w:val="0007288C"/>
    <w:rsid w:val="00072D3A"/>
    <w:rsid w:val="000757FA"/>
    <w:rsid w:val="00075E93"/>
    <w:rsid w:val="000763D8"/>
    <w:rsid w:val="00076BBC"/>
    <w:rsid w:val="00077455"/>
    <w:rsid w:val="00080A09"/>
    <w:rsid w:val="00081051"/>
    <w:rsid w:val="000817FC"/>
    <w:rsid w:val="000824CF"/>
    <w:rsid w:val="00082885"/>
    <w:rsid w:val="00083416"/>
    <w:rsid w:val="000839D0"/>
    <w:rsid w:val="00083DF4"/>
    <w:rsid w:val="0008538B"/>
    <w:rsid w:val="00085B90"/>
    <w:rsid w:val="00085C58"/>
    <w:rsid w:val="00090521"/>
    <w:rsid w:val="0009086D"/>
    <w:rsid w:val="00091C5D"/>
    <w:rsid w:val="000921A8"/>
    <w:rsid w:val="00092373"/>
    <w:rsid w:val="000949D3"/>
    <w:rsid w:val="00095807"/>
    <w:rsid w:val="0009720B"/>
    <w:rsid w:val="000A14EB"/>
    <w:rsid w:val="000A1EC0"/>
    <w:rsid w:val="000A2657"/>
    <w:rsid w:val="000A484A"/>
    <w:rsid w:val="000A4B3B"/>
    <w:rsid w:val="000A4D5F"/>
    <w:rsid w:val="000A53F1"/>
    <w:rsid w:val="000A5ED5"/>
    <w:rsid w:val="000A73B0"/>
    <w:rsid w:val="000B0A40"/>
    <w:rsid w:val="000B0AB3"/>
    <w:rsid w:val="000B2642"/>
    <w:rsid w:val="000B2849"/>
    <w:rsid w:val="000B3AA8"/>
    <w:rsid w:val="000B3D71"/>
    <w:rsid w:val="000B528E"/>
    <w:rsid w:val="000B549D"/>
    <w:rsid w:val="000B5B82"/>
    <w:rsid w:val="000C09A6"/>
    <w:rsid w:val="000C1D78"/>
    <w:rsid w:val="000C2ECB"/>
    <w:rsid w:val="000C33DF"/>
    <w:rsid w:val="000C3CF0"/>
    <w:rsid w:val="000C659A"/>
    <w:rsid w:val="000D0DA3"/>
    <w:rsid w:val="000D10E1"/>
    <w:rsid w:val="000D23BE"/>
    <w:rsid w:val="000D264B"/>
    <w:rsid w:val="000D59AE"/>
    <w:rsid w:val="000D75C8"/>
    <w:rsid w:val="000E1B80"/>
    <w:rsid w:val="000E2973"/>
    <w:rsid w:val="000E5583"/>
    <w:rsid w:val="000E577B"/>
    <w:rsid w:val="000E65BE"/>
    <w:rsid w:val="000E7C25"/>
    <w:rsid w:val="000F0FE4"/>
    <w:rsid w:val="000F1705"/>
    <w:rsid w:val="000F1CF0"/>
    <w:rsid w:val="000F209B"/>
    <w:rsid w:val="000F7143"/>
    <w:rsid w:val="001000C8"/>
    <w:rsid w:val="00100BEC"/>
    <w:rsid w:val="001014ED"/>
    <w:rsid w:val="00102198"/>
    <w:rsid w:val="00104EDF"/>
    <w:rsid w:val="00105B2B"/>
    <w:rsid w:val="00105F00"/>
    <w:rsid w:val="00107472"/>
    <w:rsid w:val="00107C36"/>
    <w:rsid w:val="00107CD5"/>
    <w:rsid w:val="00110DD2"/>
    <w:rsid w:val="0011389A"/>
    <w:rsid w:val="0011448B"/>
    <w:rsid w:val="00114B08"/>
    <w:rsid w:val="00117526"/>
    <w:rsid w:val="00117E0A"/>
    <w:rsid w:val="0012074D"/>
    <w:rsid w:val="0012108B"/>
    <w:rsid w:val="001236AE"/>
    <w:rsid w:val="00124392"/>
    <w:rsid w:val="0012690B"/>
    <w:rsid w:val="00126F44"/>
    <w:rsid w:val="00135AC7"/>
    <w:rsid w:val="0013630A"/>
    <w:rsid w:val="00136B1C"/>
    <w:rsid w:val="001424CD"/>
    <w:rsid w:val="001425C8"/>
    <w:rsid w:val="00142D63"/>
    <w:rsid w:val="0014389B"/>
    <w:rsid w:val="00144563"/>
    <w:rsid w:val="00147343"/>
    <w:rsid w:val="00147BA5"/>
    <w:rsid w:val="00150385"/>
    <w:rsid w:val="001509DB"/>
    <w:rsid w:val="001516D1"/>
    <w:rsid w:val="0015172A"/>
    <w:rsid w:val="001520D1"/>
    <w:rsid w:val="00152B15"/>
    <w:rsid w:val="00155403"/>
    <w:rsid w:val="0015642E"/>
    <w:rsid w:val="0016093F"/>
    <w:rsid w:val="001613E8"/>
    <w:rsid w:val="001614D1"/>
    <w:rsid w:val="00161E06"/>
    <w:rsid w:val="00162089"/>
    <w:rsid w:val="001620B1"/>
    <w:rsid w:val="001630A7"/>
    <w:rsid w:val="00167325"/>
    <w:rsid w:val="0017350E"/>
    <w:rsid w:val="0017784C"/>
    <w:rsid w:val="00177D97"/>
    <w:rsid w:val="00181837"/>
    <w:rsid w:val="00181D2A"/>
    <w:rsid w:val="00183A0D"/>
    <w:rsid w:val="00184D51"/>
    <w:rsid w:val="00184D5E"/>
    <w:rsid w:val="00187625"/>
    <w:rsid w:val="0018793C"/>
    <w:rsid w:val="00187E7C"/>
    <w:rsid w:val="00190321"/>
    <w:rsid w:val="001906EB"/>
    <w:rsid w:val="001909E3"/>
    <w:rsid w:val="0019221D"/>
    <w:rsid w:val="00192385"/>
    <w:rsid w:val="0019295E"/>
    <w:rsid w:val="00192A25"/>
    <w:rsid w:val="001938E3"/>
    <w:rsid w:val="0019682F"/>
    <w:rsid w:val="00197298"/>
    <w:rsid w:val="001A0184"/>
    <w:rsid w:val="001A0CDA"/>
    <w:rsid w:val="001A3CF3"/>
    <w:rsid w:val="001A47FE"/>
    <w:rsid w:val="001A4CCB"/>
    <w:rsid w:val="001A55E4"/>
    <w:rsid w:val="001A5995"/>
    <w:rsid w:val="001A6A0B"/>
    <w:rsid w:val="001A6AB8"/>
    <w:rsid w:val="001A72B2"/>
    <w:rsid w:val="001B0200"/>
    <w:rsid w:val="001B27DA"/>
    <w:rsid w:val="001B42E2"/>
    <w:rsid w:val="001B5362"/>
    <w:rsid w:val="001B55C5"/>
    <w:rsid w:val="001B56FC"/>
    <w:rsid w:val="001B7421"/>
    <w:rsid w:val="001B78D0"/>
    <w:rsid w:val="001C015C"/>
    <w:rsid w:val="001C0178"/>
    <w:rsid w:val="001C054A"/>
    <w:rsid w:val="001C06B5"/>
    <w:rsid w:val="001C0B16"/>
    <w:rsid w:val="001C3338"/>
    <w:rsid w:val="001C5E3E"/>
    <w:rsid w:val="001C5EE7"/>
    <w:rsid w:val="001D0916"/>
    <w:rsid w:val="001D463B"/>
    <w:rsid w:val="001D4BEB"/>
    <w:rsid w:val="001D55C3"/>
    <w:rsid w:val="001E2086"/>
    <w:rsid w:val="001E2B6E"/>
    <w:rsid w:val="001E2C36"/>
    <w:rsid w:val="001E5262"/>
    <w:rsid w:val="001E5C45"/>
    <w:rsid w:val="001E6854"/>
    <w:rsid w:val="001E6A44"/>
    <w:rsid w:val="001E7564"/>
    <w:rsid w:val="001E79E3"/>
    <w:rsid w:val="001E7ED7"/>
    <w:rsid w:val="001E7F9A"/>
    <w:rsid w:val="001F0518"/>
    <w:rsid w:val="001F0DB7"/>
    <w:rsid w:val="001F1630"/>
    <w:rsid w:val="001F3EBF"/>
    <w:rsid w:val="001F4259"/>
    <w:rsid w:val="001F4C64"/>
    <w:rsid w:val="001F5367"/>
    <w:rsid w:val="001F53E3"/>
    <w:rsid w:val="001F5A5D"/>
    <w:rsid w:val="001F66C1"/>
    <w:rsid w:val="001F6F39"/>
    <w:rsid w:val="00200883"/>
    <w:rsid w:val="00200C52"/>
    <w:rsid w:val="002031DB"/>
    <w:rsid w:val="00204020"/>
    <w:rsid w:val="0020586B"/>
    <w:rsid w:val="0020619A"/>
    <w:rsid w:val="002065CE"/>
    <w:rsid w:val="00206C7C"/>
    <w:rsid w:val="00210103"/>
    <w:rsid w:val="00210539"/>
    <w:rsid w:val="00210830"/>
    <w:rsid w:val="00211BE2"/>
    <w:rsid w:val="002132F7"/>
    <w:rsid w:val="002133B6"/>
    <w:rsid w:val="0021393C"/>
    <w:rsid w:val="002142C5"/>
    <w:rsid w:val="00216138"/>
    <w:rsid w:val="00216CB3"/>
    <w:rsid w:val="0021786D"/>
    <w:rsid w:val="0022023F"/>
    <w:rsid w:val="002205F3"/>
    <w:rsid w:val="00220EF9"/>
    <w:rsid w:val="00222C41"/>
    <w:rsid w:val="00224EBA"/>
    <w:rsid w:val="002264E5"/>
    <w:rsid w:val="00226A52"/>
    <w:rsid w:val="0022741A"/>
    <w:rsid w:val="00230994"/>
    <w:rsid w:val="00230E64"/>
    <w:rsid w:val="00231202"/>
    <w:rsid w:val="0023472A"/>
    <w:rsid w:val="00236AF0"/>
    <w:rsid w:val="00237954"/>
    <w:rsid w:val="00237B5F"/>
    <w:rsid w:val="00240BE4"/>
    <w:rsid w:val="0024130F"/>
    <w:rsid w:val="002433AD"/>
    <w:rsid w:val="00244E68"/>
    <w:rsid w:val="0024500E"/>
    <w:rsid w:val="0024629E"/>
    <w:rsid w:val="002464B7"/>
    <w:rsid w:val="0025044D"/>
    <w:rsid w:val="002509ED"/>
    <w:rsid w:val="002531D6"/>
    <w:rsid w:val="002542C5"/>
    <w:rsid w:val="0025430C"/>
    <w:rsid w:val="00255B7B"/>
    <w:rsid w:val="00257872"/>
    <w:rsid w:val="00257F61"/>
    <w:rsid w:val="002605D5"/>
    <w:rsid w:val="00260E12"/>
    <w:rsid w:val="00261CCA"/>
    <w:rsid w:val="002621F1"/>
    <w:rsid w:val="00262A2D"/>
    <w:rsid w:val="00262A31"/>
    <w:rsid w:val="00263675"/>
    <w:rsid w:val="0026401A"/>
    <w:rsid w:val="00264488"/>
    <w:rsid w:val="00264C8B"/>
    <w:rsid w:val="00266B30"/>
    <w:rsid w:val="002670D3"/>
    <w:rsid w:val="00267B4C"/>
    <w:rsid w:val="002704BB"/>
    <w:rsid w:val="00270656"/>
    <w:rsid w:val="00272730"/>
    <w:rsid w:val="00273491"/>
    <w:rsid w:val="00274170"/>
    <w:rsid w:val="002742A1"/>
    <w:rsid w:val="00274A38"/>
    <w:rsid w:val="00275C83"/>
    <w:rsid w:val="00276C70"/>
    <w:rsid w:val="00277B76"/>
    <w:rsid w:val="002821BB"/>
    <w:rsid w:val="002827E5"/>
    <w:rsid w:val="00282A4F"/>
    <w:rsid w:val="00282E8E"/>
    <w:rsid w:val="00283F19"/>
    <w:rsid w:val="002844FD"/>
    <w:rsid w:val="00284CCE"/>
    <w:rsid w:val="002853CC"/>
    <w:rsid w:val="00285839"/>
    <w:rsid w:val="00286346"/>
    <w:rsid w:val="0028665C"/>
    <w:rsid w:val="0029116C"/>
    <w:rsid w:val="00292201"/>
    <w:rsid w:val="00294943"/>
    <w:rsid w:val="00294B0E"/>
    <w:rsid w:val="002965A8"/>
    <w:rsid w:val="002A23DD"/>
    <w:rsid w:val="002A3F31"/>
    <w:rsid w:val="002A43E6"/>
    <w:rsid w:val="002A55B8"/>
    <w:rsid w:val="002A60AC"/>
    <w:rsid w:val="002A7157"/>
    <w:rsid w:val="002A7382"/>
    <w:rsid w:val="002A767F"/>
    <w:rsid w:val="002A7F41"/>
    <w:rsid w:val="002B16CD"/>
    <w:rsid w:val="002B1E72"/>
    <w:rsid w:val="002B3683"/>
    <w:rsid w:val="002B47EA"/>
    <w:rsid w:val="002B7263"/>
    <w:rsid w:val="002B76EA"/>
    <w:rsid w:val="002C2068"/>
    <w:rsid w:val="002C2716"/>
    <w:rsid w:val="002C3CBB"/>
    <w:rsid w:val="002C403A"/>
    <w:rsid w:val="002C466F"/>
    <w:rsid w:val="002C48A4"/>
    <w:rsid w:val="002C5E68"/>
    <w:rsid w:val="002C6674"/>
    <w:rsid w:val="002C6D61"/>
    <w:rsid w:val="002D0252"/>
    <w:rsid w:val="002D20B7"/>
    <w:rsid w:val="002D2A1A"/>
    <w:rsid w:val="002D4121"/>
    <w:rsid w:val="002D4C09"/>
    <w:rsid w:val="002D4E76"/>
    <w:rsid w:val="002D6F0A"/>
    <w:rsid w:val="002D74DC"/>
    <w:rsid w:val="002E0043"/>
    <w:rsid w:val="002E0D0A"/>
    <w:rsid w:val="002E1106"/>
    <w:rsid w:val="002E1E52"/>
    <w:rsid w:val="002E2A3C"/>
    <w:rsid w:val="002E566A"/>
    <w:rsid w:val="002E5D46"/>
    <w:rsid w:val="002E627C"/>
    <w:rsid w:val="002E643C"/>
    <w:rsid w:val="002E6B95"/>
    <w:rsid w:val="002F01F8"/>
    <w:rsid w:val="002F16C3"/>
    <w:rsid w:val="002F2E8C"/>
    <w:rsid w:val="002F3783"/>
    <w:rsid w:val="002F4618"/>
    <w:rsid w:val="002F6787"/>
    <w:rsid w:val="002F6B53"/>
    <w:rsid w:val="002F7C52"/>
    <w:rsid w:val="002F7EE9"/>
    <w:rsid w:val="00300419"/>
    <w:rsid w:val="0030230A"/>
    <w:rsid w:val="003051BE"/>
    <w:rsid w:val="003054A5"/>
    <w:rsid w:val="003054FC"/>
    <w:rsid w:val="00305FCE"/>
    <w:rsid w:val="003063D5"/>
    <w:rsid w:val="00310BBA"/>
    <w:rsid w:val="00312776"/>
    <w:rsid w:val="003131BD"/>
    <w:rsid w:val="003142C9"/>
    <w:rsid w:val="003147AF"/>
    <w:rsid w:val="00314F5F"/>
    <w:rsid w:val="00315A95"/>
    <w:rsid w:val="003160AB"/>
    <w:rsid w:val="00316C48"/>
    <w:rsid w:val="00316FAC"/>
    <w:rsid w:val="00317350"/>
    <w:rsid w:val="00321145"/>
    <w:rsid w:val="00321269"/>
    <w:rsid w:val="00322932"/>
    <w:rsid w:val="00323DF6"/>
    <w:rsid w:val="00324AE8"/>
    <w:rsid w:val="003257F4"/>
    <w:rsid w:val="00325BF3"/>
    <w:rsid w:val="00326B58"/>
    <w:rsid w:val="0032751B"/>
    <w:rsid w:val="00327FE6"/>
    <w:rsid w:val="003304CB"/>
    <w:rsid w:val="003306E4"/>
    <w:rsid w:val="00333696"/>
    <w:rsid w:val="00333D6E"/>
    <w:rsid w:val="0033516E"/>
    <w:rsid w:val="00335365"/>
    <w:rsid w:val="0033568B"/>
    <w:rsid w:val="00335F7F"/>
    <w:rsid w:val="00336671"/>
    <w:rsid w:val="00336F7E"/>
    <w:rsid w:val="00337183"/>
    <w:rsid w:val="00337833"/>
    <w:rsid w:val="003408EC"/>
    <w:rsid w:val="003409EE"/>
    <w:rsid w:val="00343A9D"/>
    <w:rsid w:val="00344923"/>
    <w:rsid w:val="00344D00"/>
    <w:rsid w:val="00344FAE"/>
    <w:rsid w:val="00345855"/>
    <w:rsid w:val="00345B63"/>
    <w:rsid w:val="00346A11"/>
    <w:rsid w:val="00347524"/>
    <w:rsid w:val="0034765A"/>
    <w:rsid w:val="00347C73"/>
    <w:rsid w:val="00347F0E"/>
    <w:rsid w:val="003502D3"/>
    <w:rsid w:val="0035140E"/>
    <w:rsid w:val="00351AA5"/>
    <w:rsid w:val="00352740"/>
    <w:rsid w:val="0035298F"/>
    <w:rsid w:val="00352DBC"/>
    <w:rsid w:val="00354629"/>
    <w:rsid w:val="00355FEA"/>
    <w:rsid w:val="00356F1F"/>
    <w:rsid w:val="0035706A"/>
    <w:rsid w:val="00360542"/>
    <w:rsid w:val="00361189"/>
    <w:rsid w:val="003615C2"/>
    <w:rsid w:val="00363CAB"/>
    <w:rsid w:val="00364697"/>
    <w:rsid w:val="003654E6"/>
    <w:rsid w:val="00365C8E"/>
    <w:rsid w:val="00365FFA"/>
    <w:rsid w:val="00366EBF"/>
    <w:rsid w:val="00367085"/>
    <w:rsid w:val="0036739D"/>
    <w:rsid w:val="00370389"/>
    <w:rsid w:val="003709E9"/>
    <w:rsid w:val="003712CF"/>
    <w:rsid w:val="00372A94"/>
    <w:rsid w:val="0037363C"/>
    <w:rsid w:val="003744A8"/>
    <w:rsid w:val="00375298"/>
    <w:rsid w:val="00375412"/>
    <w:rsid w:val="0037543C"/>
    <w:rsid w:val="003755CE"/>
    <w:rsid w:val="0037575C"/>
    <w:rsid w:val="00376112"/>
    <w:rsid w:val="0037611C"/>
    <w:rsid w:val="003769D8"/>
    <w:rsid w:val="00377063"/>
    <w:rsid w:val="00377E17"/>
    <w:rsid w:val="0038131C"/>
    <w:rsid w:val="003827FA"/>
    <w:rsid w:val="00384B33"/>
    <w:rsid w:val="00385862"/>
    <w:rsid w:val="00385BE9"/>
    <w:rsid w:val="0038667C"/>
    <w:rsid w:val="00386BA2"/>
    <w:rsid w:val="0039218A"/>
    <w:rsid w:val="00392DCE"/>
    <w:rsid w:val="0039365E"/>
    <w:rsid w:val="00394F88"/>
    <w:rsid w:val="00395193"/>
    <w:rsid w:val="003A221C"/>
    <w:rsid w:val="003A2E29"/>
    <w:rsid w:val="003A5380"/>
    <w:rsid w:val="003A6320"/>
    <w:rsid w:val="003A7FBD"/>
    <w:rsid w:val="003B15DD"/>
    <w:rsid w:val="003B2BCA"/>
    <w:rsid w:val="003B2F03"/>
    <w:rsid w:val="003B38C0"/>
    <w:rsid w:val="003B43F3"/>
    <w:rsid w:val="003B5429"/>
    <w:rsid w:val="003B6248"/>
    <w:rsid w:val="003C167C"/>
    <w:rsid w:val="003C2BF1"/>
    <w:rsid w:val="003C2F50"/>
    <w:rsid w:val="003C5DB8"/>
    <w:rsid w:val="003C65FC"/>
    <w:rsid w:val="003C67F9"/>
    <w:rsid w:val="003C6B81"/>
    <w:rsid w:val="003C7CE9"/>
    <w:rsid w:val="003D0E6A"/>
    <w:rsid w:val="003D1B4B"/>
    <w:rsid w:val="003D2A92"/>
    <w:rsid w:val="003D5991"/>
    <w:rsid w:val="003D6806"/>
    <w:rsid w:val="003D74BB"/>
    <w:rsid w:val="003D770A"/>
    <w:rsid w:val="003E0D8E"/>
    <w:rsid w:val="003E0F39"/>
    <w:rsid w:val="003E154F"/>
    <w:rsid w:val="003E3565"/>
    <w:rsid w:val="003E393C"/>
    <w:rsid w:val="003E51AF"/>
    <w:rsid w:val="003E684A"/>
    <w:rsid w:val="003E721F"/>
    <w:rsid w:val="003F172C"/>
    <w:rsid w:val="003F1D48"/>
    <w:rsid w:val="003F1E1C"/>
    <w:rsid w:val="003F3E1F"/>
    <w:rsid w:val="003F6E94"/>
    <w:rsid w:val="00401D51"/>
    <w:rsid w:val="00402D34"/>
    <w:rsid w:val="0040381B"/>
    <w:rsid w:val="00404831"/>
    <w:rsid w:val="004055A7"/>
    <w:rsid w:val="004065A3"/>
    <w:rsid w:val="004110FE"/>
    <w:rsid w:val="00413808"/>
    <w:rsid w:val="004160FA"/>
    <w:rsid w:val="0041673A"/>
    <w:rsid w:val="00417C22"/>
    <w:rsid w:val="00417F3E"/>
    <w:rsid w:val="004214FD"/>
    <w:rsid w:val="0042220C"/>
    <w:rsid w:val="00424780"/>
    <w:rsid w:val="00424A25"/>
    <w:rsid w:val="00424A71"/>
    <w:rsid w:val="00426F13"/>
    <w:rsid w:val="00427C53"/>
    <w:rsid w:val="004316C3"/>
    <w:rsid w:val="00433E51"/>
    <w:rsid w:val="00435F21"/>
    <w:rsid w:val="00436DAC"/>
    <w:rsid w:val="004374F1"/>
    <w:rsid w:val="00440253"/>
    <w:rsid w:val="0044066E"/>
    <w:rsid w:val="0044159F"/>
    <w:rsid w:val="004423F4"/>
    <w:rsid w:val="0044436D"/>
    <w:rsid w:val="0044589D"/>
    <w:rsid w:val="004461FF"/>
    <w:rsid w:val="004463AB"/>
    <w:rsid w:val="00446464"/>
    <w:rsid w:val="00450C6C"/>
    <w:rsid w:val="004530DF"/>
    <w:rsid w:val="00453106"/>
    <w:rsid w:val="004535B7"/>
    <w:rsid w:val="00454160"/>
    <w:rsid w:val="00455626"/>
    <w:rsid w:val="004564FF"/>
    <w:rsid w:val="004566F3"/>
    <w:rsid w:val="00457D09"/>
    <w:rsid w:val="00460EF4"/>
    <w:rsid w:val="00462702"/>
    <w:rsid w:val="0046341D"/>
    <w:rsid w:val="00464C66"/>
    <w:rsid w:val="00467311"/>
    <w:rsid w:val="00470F25"/>
    <w:rsid w:val="00474BA3"/>
    <w:rsid w:val="00474D27"/>
    <w:rsid w:val="004751B4"/>
    <w:rsid w:val="00475F6E"/>
    <w:rsid w:val="0047690F"/>
    <w:rsid w:val="00477080"/>
    <w:rsid w:val="00477A39"/>
    <w:rsid w:val="00483716"/>
    <w:rsid w:val="00483A19"/>
    <w:rsid w:val="004843E0"/>
    <w:rsid w:val="0048468B"/>
    <w:rsid w:val="00484F6C"/>
    <w:rsid w:val="00486D4E"/>
    <w:rsid w:val="004934C3"/>
    <w:rsid w:val="004951B5"/>
    <w:rsid w:val="00495A87"/>
    <w:rsid w:val="00495B35"/>
    <w:rsid w:val="0049677E"/>
    <w:rsid w:val="00497D95"/>
    <w:rsid w:val="004A02E0"/>
    <w:rsid w:val="004A145C"/>
    <w:rsid w:val="004A2802"/>
    <w:rsid w:val="004A4B2E"/>
    <w:rsid w:val="004A6D0E"/>
    <w:rsid w:val="004A731C"/>
    <w:rsid w:val="004A7E93"/>
    <w:rsid w:val="004B2F31"/>
    <w:rsid w:val="004B3159"/>
    <w:rsid w:val="004B31A0"/>
    <w:rsid w:val="004B34A1"/>
    <w:rsid w:val="004B401D"/>
    <w:rsid w:val="004B467A"/>
    <w:rsid w:val="004B4E25"/>
    <w:rsid w:val="004B6497"/>
    <w:rsid w:val="004B6A4B"/>
    <w:rsid w:val="004B6AD1"/>
    <w:rsid w:val="004B72AE"/>
    <w:rsid w:val="004B76C0"/>
    <w:rsid w:val="004C1267"/>
    <w:rsid w:val="004C1926"/>
    <w:rsid w:val="004C33F4"/>
    <w:rsid w:val="004C363D"/>
    <w:rsid w:val="004C5687"/>
    <w:rsid w:val="004C6AA7"/>
    <w:rsid w:val="004C6ADA"/>
    <w:rsid w:val="004C6ED6"/>
    <w:rsid w:val="004C7ADB"/>
    <w:rsid w:val="004C7E87"/>
    <w:rsid w:val="004D1D31"/>
    <w:rsid w:val="004D21D5"/>
    <w:rsid w:val="004D4E61"/>
    <w:rsid w:val="004D6750"/>
    <w:rsid w:val="004E0159"/>
    <w:rsid w:val="004E06A1"/>
    <w:rsid w:val="004E3D47"/>
    <w:rsid w:val="004E400E"/>
    <w:rsid w:val="004E4B69"/>
    <w:rsid w:val="004E4F08"/>
    <w:rsid w:val="004E5E72"/>
    <w:rsid w:val="004E66DE"/>
    <w:rsid w:val="004F01F9"/>
    <w:rsid w:val="004F058D"/>
    <w:rsid w:val="004F0597"/>
    <w:rsid w:val="004F129D"/>
    <w:rsid w:val="004F15CB"/>
    <w:rsid w:val="004F1B7E"/>
    <w:rsid w:val="004F1FD9"/>
    <w:rsid w:val="004F23E4"/>
    <w:rsid w:val="004F3821"/>
    <w:rsid w:val="004F3844"/>
    <w:rsid w:val="004F451C"/>
    <w:rsid w:val="004F4800"/>
    <w:rsid w:val="004F4BF8"/>
    <w:rsid w:val="004F6E2A"/>
    <w:rsid w:val="004F7541"/>
    <w:rsid w:val="004F7B58"/>
    <w:rsid w:val="00500308"/>
    <w:rsid w:val="00500505"/>
    <w:rsid w:val="00501342"/>
    <w:rsid w:val="00501476"/>
    <w:rsid w:val="0050217E"/>
    <w:rsid w:val="005032C0"/>
    <w:rsid w:val="00504EAE"/>
    <w:rsid w:val="0050625C"/>
    <w:rsid w:val="005062AE"/>
    <w:rsid w:val="0051003A"/>
    <w:rsid w:val="00510063"/>
    <w:rsid w:val="00510934"/>
    <w:rsid w:val="00511A12"/>
    <w:rsid w:val="00511CBA"/>
    <w:rsid w:val="00512712"/>
    <w:rsid w:val="00512798"/>
    <w:rsid w:val="00513E40"/>
    <w:rsid w:val="005173E0"/>
    <w:rsid w:val="005207DF"/>
    <w:rsid w:val="00520D6A"/>
    <w:rsid w:val="00522CED"/>
    <w:rsid w:val="005237FC"/>
    <w:rsid w:val="00523823"/>
    <w:rsid w:val="00524529"/>
    <w:rsid w:val="005262CE"/>
    <w:rsid w:val="0052743D"/>
    <w:rsid w:val="00530A53"/>
    <w:rsid w:val="00532891"/>
    <w:rsid w:val="00535005"/>
    <w:rsid w:val="0053660B"/>
    <w:rsid w:val="00537204"/>
    <w:rsid w:val="00537815"/>
    <w:rsid w:val="005418E0"/>
    <w:rsid w:val="005422D1"/>
    <w:rsid w:val="0054303F"/>
    <w:rsid w:val="00544C7B"/>
    <w:rsid w:val="00545CE9"/>
    <w:rsid w:val="0054653D"/>
    <w:rsid w:val="005471A0"/>
    <w:rsid w:val="0055064E"/>
    <w:rsid w:val="00551731"/>
    <w:rsid w:val="00551A17"/>
    <w:rsid w:val="00552FC7"/>
    <w:rsid w:val="00556B32"/>
    <w:rsid w:val="0056280D"/>
    <w:rsid w:val="00562FE6"/>
    <w:rsid w:val="00564496"/>
    <w:rsid w:val="005660EC"/>
    <w:rsid w:val="00566ED2"/>
    <w:rsid w:val="005709CC"/>
    <w:rsid w:val="00570F44"/>
    <w:rsid w:val="00574F75"/>
    <w:rsid w:val="0057500C"/>
    <w:rsid w:val="00576F16"/>
    <w:rsid w:val="00581D0E"/>
    <w:rsid w:val="005832CA"/>
    <w:rsid w:val="00583AE4"/>
    <w:rsid w:val="00584528"/>
    <w:rsid w:val="00584F01"/>
    <w:rsid w:val="005850C6"/>
    <w:rsid w:val="00587078"/>
    <w:rsid w:val="00587471"/>
    <w:rsid w:val="00587D09"/>
    <w:rsid w:val="0059042B"/>
    <w:rsid w:val="005929AC"/>
    <w:rsid w:val="00593EF3"/>
    <w:rsid w:val="005944F3"/>
    <w:rsid w:val="00595309"/>
    <w:rsid w:val="00596B11"/>
    <w:rsid w:val="005A0483"/>
    <w:rsid w:val="005A3EAB"/>
    <w:rsid w:val="005A3F21"/>
    <w:rsid w:val="005A41EA"/>
    <w:rsid w:val="005A56F8"/>
    <w:rsid w:val="005A67F4"/>
    <w:rsid w:val="005A6A15"/>
    <w:rsid w:val="005B0472"/>
    <w:rsid w:val="005B05DF"/>
    <w:rsid w:val="005B11A0"/>
    <w:rsid w:val="005B12AA"/>
    <w:rsid w:val="005B1411"/>
    <w:rsid w:val="005B142A"/>
    <w:rsid w:val="005B149E"/>
    <w:rsid w:val="005B2663"/>
    <w:rsid w:val="005B2B03"/>
    <w:rsid w:val="005B4A3D"/>
    <w:rsid w:val="005B5807"/>
    <w:rsid w:val="005B67ED"/>
    <w:rsid w:val="005C33DB"/>
    <w:rsid w:val="005C4B9E"/>
    <w:rsid w:val="005C65E6"/>
    <w:rsid w:val="005D2B79"/>
    <w:rsid w:val="005D3DB1"/>
    <w:rsid w:val="005D6059"/>
    <w:rsid w:val="005D73E4"/>
    <w:rsid w:val="005E0B03"/>
    <w:rsid w:val="005E1B2E"/>
    <w:rsid w:val="005E1DE9"/>
    <w:rsid w:val="005E24BF"/>
    <w:rsid w:val="005E54FB"/>
    <w:rsid w:val="005E6A82"/>
    <w:rsid w:val="005E7724"/>
    <w:rsid w:val="005E775C"/>
    <w:rsid w:val="005E7B7D"/>
    <w:rsid w:val="005E7BB1"/>
    <w:rsid w:val="005E7E9F"/>
    <w:rsid w:val="005F07CA"/>
    <w:rsid w:val="005F0B7C"/>
    <w:rsid w:val="005F23E1"/>
    <w:rsid w:val="005F3027"/>
    <w:rsid w:val="005F3F3E"/>
    <w:rsid w:val="005F401A"/>
    <w:rsid w:val="005F5495"/>
    <w:rsid w:val="005F5EBD"/>
    <w:rsid w:val="005F60E9"/>
    <w:rsid w:val="005F6161"/>
    <w:rsid w:val="005F6424"/>
    <w:rsid w:val="005F6C32"/>
    <w:rsid w:val="005F741D"/>
    <w:rsid w:val="00603276"/>
    <w:rsid w:val="00603F4F"/>
    <w:rsid w:val="0060425A"/>
    <w:rsid w:val="0060503D"/>
    <w:rsid w:val="00606034"/>
    <w:rsid w:val="0060693B"/>
    <w:rsid w:val="0061080F"/>
    <w:rsid w:val="00611447"/>
    <w:rsid w:val="00611BE3"/>
    <w:rsid w:val="00612DB8"/>
    <w:rsid w:val="006138DB"/>
    <w:rsid w:val="00613A84"/>
    <w:rsid w:val="0061442A"/>
    <w:rsid w:val="0061478E"/>
    <w:rsid w:val="00617E9B"/>
    <w:rsid w:val="00620B71"/>
    <w:rsid w:val="006221D6"/>
    <w:rsid w:val="00622818"/>
    <w:rsid w:val="00624D2E"/>
    <w:rsid w:val="006268B2"/>
    <w:rsid w:val="00626A95"/>
    <w:rsid w:val="00627690"/>
    <w:rsid w:val="00627E3C"/>
    <w:rsid w:val="00630151"/>
    <w:rsid w:val="0063203A"/>
    <w:rsid w:val="00632E04"/>
    <w:rsid w:val="00634962"/>
    <w:rsid w:val="0063542E"/>
    <w:rsid w:val="006361A4"/>
    <w:rsid w:val="00636AA8"/>
    <w:rsid w:val="00636C34"/>
    <w:rsid w:val="00637B8A"/>
    <w:rsid w:val="00637CC4"/>
    <w:rsid w:val="00643304"/>
    <w:rsid w:val="0064478C"/>
    <w:rsid w:val="00644957"/>
    <w:rsid w:val="00645DA4"/>
    <w:rsid w:val="00647C4F"/>
    <w:rsid w:val="00647ED8"/>
    <w:rsid w:val="00650707"/>
    <w:rsid w:val="006512FD"/>
    <w:rsid w:val="0065204A"/>
    <w:rsid w:val="00652798"/>
    <w:rsid w:val="00652DA1"/>
    <w:rsid w:val="006533D8"/>
    <w:rsid w:val="006539FB"/>
    <w:rsid w:val="00655C26"/>
    <w:rsid w:val="006604E1"/>
    <w:rsid w:val="00662558"/>
    <w:rsid w:val="00663272"/>
    <w:rsid w:val="00663C50"/>
    <w:rsid w:val="00664FE2"/>
    <w:rsid w:val="006660E6"/>
    <w:rsid w:val="0067232B"/>
    <w:rsid w:val="0067461C"/>
    <w:rsid w:val="006749D6"/>
    <w:rsid w:val="00675454"/>
    <w:rsid w:val="006765E5"/>
    <w:rsid w:val="00680030"/>
    <w:rsid w:val="0068045C"/>
    <w:rsid w:val="006806BB"/>
    <w:rsid w:val="00681AAD"/>
    <w:rsid w:val="00682A77"/>
    <w:rsid w:val="00683CC9"/>
    <w:rsid w:val="00685F1A"/>
    <w:rsid w:val="006870CD"/>
    <w:rsid w:val="006906ED"/>
    <w:rsid w:val="0069077A"/>
    <w:rsid w:val="0069094C"/>
    <w:rsid w:val="00690E8E"/>
    <w:rsid w:val="0069176C"/>
    <w:rsid w:val="006934AE"/>
    <w:rsid w:val="0069356A"/>
    <w:rsid w:val="00695065"/>
    <w:rsid w:val="00695474"/>
    <w:rsid w:val="006960B2"/>
    <w:rsid w:val="00697627"/>
    <w:rsid w:val="00697790"/>
    <w:rsid w:val="006A0B5D"/>
    <w:rsid w:val="006A16BE"/>
    <w:rsid w:val="006A1DB3"/>
    <w:rsid w:val="006A2C6E"/>
    <w:rsid w:val="006A30FE"/>
    <w:rsid w:val="006A52FB"/>
    <w:rsid w:val="006A7A94"/>
    <w:rsid w:val="006A7DCC"/>
    <w:rsid w:val="006B0FA9"/>
    <w:rsid w:val="006B3355"/>
    <w:rsid w:val="006B52DD"/>
    <w:rsid w:val="006C0DA5"/>
    <w:rsid w:val="006C0E70"/>
    <w:rsid w:val="006C12C0"/>
    <w:rsid w:val="006C2C95"/>
    <w:rsid w:val="006C30C2"/>
    <w:rsid w:val="006C3F92"/>
    <w:rsid w:val="006C415B"/>
    <w:rsid w:val="006C4278"/>
    <w:rsid w:val="006C4BC7"/>
    <w:rsid w:val="006D0BB8"/>
    <w:rsid w:val="006D1523"/>
    <w:rsid w:val="006D1F3B"/>
    <w:rsid w:val="006D409C"/>
    <w:rsid w:val="006D455A"/>
    <w:rsid w:val="006D4BF8"/>
    <w:rsid w:val="006D6409"/>
    <w:rsid w:val="006E0F10"/>
    <w:rsid w:val="006E1AE6"/>
    <w:rsid w:val="006E3FA1"/>
    <w:rsid w:val="006E57E2"/>
    <w:rsid w:val="006E59AF"/>
    <w:rsid w:val="006E7C18"/>
    <w:rsid w:val="006F158C"/>
    <w:rsid w:val="006F2BFD"/>
    <w:rsid w:val="006F2E11"/>
    <w:rsid w:val="006F3782"/>
    <w:rsid w:val="006F4059"/>
    <w:rsid w:val="006F7C16"/>
    <w:rsid w:val="006F7C2F"/>
    <w:rsid w:val="00700346"/>
    <w:rsid w:val="0070087B"/>
    <w:rsid w:val="00700C68"/>
    <w:rsid w:val="00702B4E"/>
    <w:rsid w:val="00706310"/>
    <w:rsid w:val="007103B4"/>
    <w:rsid w:val="00711BC2"/>
    <w:rsid w:val="00711D79"/>
    <w:rsid w:val="00712411"/>
    <w:rsid w:val="00717178"/>
    <w:rsid w:val="00717570"/>
    <w:rsid w:val="007225DF"/>
    <w:rsid w:val="00723F29"/>
    <w:rsid w:val="007258E3"/>
    <w:rsid w:val="00726BE1"/>
    <w:rsid w:val="00726DF9"/>
    <w:rsid w:val="00730498"/>
    <w:rsid w:val="00730609"/>
    <w:rsid w:val="0073072F"/>
    <w:rsid w:val="007310C1"/>
    <w:rsid w:val="00731E07"/>
    <w:rsid w:val="00732E25"/>
    <w:rsid w:val="00732F5B"/>
    <w:rsid w:val="0073470B"/>
    <w:rsid w:val="0073492E"/>
    <w:rsid w:val="00734D79"/>
    <w:rsid w:val="007352CD"/>
    <w:rsid w:val="0073575D"/>
    <w:rsid w:val="00740A25"/>
    <w:rsid w:val="00740EFD"/>
    <w:rsid w:val="007418A2"/>
    <w:rsid w:val="00742173"/>
    <w:rsid w:val="00742711"/>
    <w:rsid w:val="00744371"/>
    <w:rsid w:val="007448CF"/>
    <w:rsid w:val="00744D65"/>
    <w:rsid w:val="0074566D"/>
    <w:rsid w:val="007470CD"/>
    <w:rsid w:val="007470FC"/>
    <w:rsid w:val="00747C48"/>
    <w:rsid w:val="007501A1"/>
    <w:rsid w:val="00752C59"/>
    <w:rsid w:val="00752DD5"/>
    <w:rsid w:val="0075464C"/>
    <w:rsid w:val="00754989"/>
    <w:rsid w:val="00754A11"/>
    <w:rsid w:val="00756900"/>
    <w:rsid w:val="00757436"/>
    <w:rsid w:val="00764767"/>
    <w:rsid w:val="0076537E"/>
    <w:rsid w:val="007654BC"/>
    <w:rsid w:val="00766347"/>
    <w:rsid w:val="00766360"/>
    <w:rsid w:val="00766AF9"/>
    <w:rsid w:val="00771DB5"/>
    <w:rsid w:val="0077278A"/>
    <w:rsid w:val="007741B6"/>
    <w:rsid w:val="00774A9D"/>
    <w:rsid w:val="007750A7"/>
    <w:rsid w:val="00775148"/>
    <w:rsid w:val="00775B27"/>
    <w:rsid w:val="00776358"/>
    <w:rsid w:val="0078067F"/>
    <w:rsid w:val="00781DDC"/>
    <w:rsid w:val="00782354"/>
    <w:rsid w:val="00782BF6"/>
    <w:rsid w:val="00784289"/>
    <w:rsid w:val="00786F2A"/>
    <w:rsid w:val="00787ACA"/>
    <w:rsid w:val="00790AD3"/>
    <w:rsid w:val="00790DA1"/>
    <w:rsid w:val="007937BF"/>
    <w:rsid w:val="00794917"/>
    <w:rsid w:val="00794B0C"/>
    <w:rsid w:val="00795036"/>
    <w:rsid w:val="00795596"/>
    <w:rsid w:val="007960E1"/>
    <w:rsid w:val="0079649F"/>
    <w:rsid w:val="00796BDF"/>
    <w:rsid w:val="00796F07"/>
    <w:rsid w:val="00797C0A"/>
    <w:rsid w:val="007A2495"/>
    <w:rsid w:val="007A391C"/>
    <w:rsid w:val="007A4BFC"/>
    <w:rsid w:val="007A530E"/>
    <w:rsid w:val="007A53BA"/>
    <w:rsid w:val="007A5D51"/>
    <w:rsid w:val="007A71FB"/>
    <w:rsid w:val="007A770C"/>
    <w:rsid w:val="007A7991"/>
    <w:rsid w:val="007B0C80"/>
    <w:rsid w:val="007B35F7"/>
    <w:rsid w:val="007B52F0"/>
    <w:rsid w:val="007B753C"/>
    <w:rsid w:val="007B7CDD"/>
    <w:rsid w:val="007B7FC6"/>
    <w:rsid w:val="007C0346"/>
    <w:rsid w:val="007C12A5"/>
    <w:rsid w:val="007C1311"/>
    <w:rsid w:val="007C1565"/>
    <w:rsid w:val="007C1FE7"/>
    <w:rsid w:val="007C41FB"/>
    <w:rsid w:val="007C43CC"/>
    <w:rsid w:val="007C5654"/>
    <w:rsid w:val="007C63B6"/>
    <w:rsid w:val="007C71EC"/>
    <w:rsid w:val="007C726D"/>
    <w:rsid w:val="007D3345"/>
    <w:rsid w:val="007D3726"/>
    <w:rsid w:val="007D3B1C"/>
    <w:rsid w:val="007D3E50"/>
    <w:rsid w:val="007D6542"/>
    <w:rsid w:val="007E16AD"/>
    <w:rsid w:val="007E1E8E"/>
    <w:rsid w:val="007E3114"/>
    <w:rsid w:val="007E373D"/>
    <w:rsid w:val="007E52C1"/>
    <w:rsid w:val="007E79AB"/>
    <w:rsid w:val="007F0028"/>
    <w:rsid w:val="007F2468"/>
    <w:rsid w:val="007F34DB"/>
    <w:rsid w:val="007F42B8"/>
    <w:rsid w:val="007F433B"/>
    <w:rsid w:val="007F478A"/>
    <w:rsid w:val="007F5713"/>
    <w:rsid w:val="007F5C04"/>
    <w:rsid w:val="00800607"/>
    <w:rsid w:val="00801058"/>
    <w:rsid w:val="0080219F"/>
    <w:rsid w:val="0080340B"/>
    <w:rsid w:val="00803C60"/>
    <w:rsid w:val="008046E2"/>
    <w:rsid w:val="00807C86"/>
    <w:rsid w:val="00813756"/>
    <w:rsid w:val="00813A30"/>
    <w:rsid w:val="00813DF0"/>
    <w:rsid w:val="00813FBD"/>
    <w:rsid w:val="00814109"/>
    <w:rsid w:val="00817C8A"/>
    <w:rsid w:val="0082039F"/>
    <w:rsid w:val="00823E3E"/>
    <w:rsid w:val="00823EE2"/>
    <w:rsid w:val="00823F62"/>
    <w:rsid w:val="00825706"/>
    <w:rsid w:val="008265F0"/>
    <w:rsid w:val="00827A76"/>
    <w:rsid w:val="0083172A"/>
    <w:rsid w:val="008325B4"/>
    <w:rsid w:val="00832F7B"/>
    <w:rsid w:val="00834E6A"/>
    <w:rsid w:val="0083586E"/>
    <w:rsid w:val="0084348B"/>
    <w:rsid w:val="00844BEC"/>
    <w:rsid w:val="008460CE"/>
    <w:rsid w:val="0085120C"/>
    <w:rsid w:val="00851689"/>
    <w:rsid w:val="00851B8E"/>
    <w:rsid w:val="00851BCC"/>
    <w:rsid w:val="0085205D"/>
    <w:rsid w:val="00852E69"/>
    <w:rsid w:val="00852F0C"/>
    <w:rsid w:val="00854551"/>
    <w:rsid w:val="00855588"/>
    <w:rsid w:val="00856094"/>
    <w:rsid w:val="00856AA6"/>
    <w:rsid w:val="00856B9F"/>
    <w:rsid w:val="00856E2B"/>
    <w:rsid w:val="008602F6"/>
    <w:rsid w:val="00861A8C"/>
    <w:rsid w:val="008637BB"/>
    <w:rsid w:val="00863CE5"/>
    <w:rsid w:val="008653CF"/>
    <w:rsid w:val="00865420"/>
    <w:rsid w:val="008703C4"/>
    <w:rsid w:val="00870584"/>
    <w:rsid w:val="00871292"/>
    <w:rsid w:val="0087154B"/>
    <w:rsid w:val="00873030"/>
    <w:rsid w:val="008730BE"/>
    <w:rsid w:val="00874FA7"/>
    <w:rsid w:val="0087691C"/>
    <w:rsid w:val="00877FAD"/>
    <w:rsid w:val="00880247"/>
    <w:rsid w:val="008809B5"/>
    <w:rsid w:val="00881734"/>
    <w:rsid w:val="0088185F"/>
    <w:rsid w:val="0088258C"/>
    <w:rsid w:val="0088288E"/>
    <w:rsid w:val="00883A28"/>
    <w:rsid w:val="008850FD"/>
    <w:rsid w:val="00886B0E"/>
    <w:rsid w:val="008878A4"/>
    <w:rsid w:val="008879C9"/>
    <w:rsid w:val="00887F40"/>
    <w:rsid w:val="00891419"/>
    <w:rsid w:val="00891689"/>
    <w:rsid w:val="008916DF"/>
    <w:rsid w:val="008927EC"/>
    <w:rsid w:val="0089296C"/>
    <w:rsid w:val="00892A41"/>
    <w:rsid w:val="00892B57"/>
    <w:rsid w:val="008930DE"/>
    <w:rsid w:val="00893AEB"/>
    <w:rsid w:val="008942C6"/>
    <w:rsid w:val="00894607"/>
    <w:rsid w:val="00894911"/>
    <w:rsid w:val="00894B65"/>
    <w:rsid w:val="00894C29"/>
    <w:rsid w:val="00895F66"/>
    <w:rsid w:val="00897B02"/>
    <w:rsid w:val="00897D3E"/>
    <w:rsid w:val="008A0312"/>
    <w:rsid w:val="008A0DCA"/>
    <w:rsid w:val="008A0DCE"/>
    <w:rsid w:val="008A18AA"/>
    <w:rsid w:val="008A3ABB"/>
    <w:rsid w:val="008A412F"/>
    <w:rsid w:val="008A5FF2"/>
    <w:rsid w:val="008A71C2"/>
    <w:rsid w:val="008A7873"/>
    <w:rsid w:val="008A7B05"/>
    <w:rsid w:val="008B0641"/>
    <w:rsid w:val="008B155D"/>
    <w:rsid w:val="008B1E1B"/>
    <w:rsid w:val="008B3C82"/>
    <w:rsid w:val="008B3CF6"/>
    <w:rsid w:val="008B3ED1"/>
    <w:rsid w:val="008B4255"/>
    <w:rsid w:val="008B526A"/>
    <w:rsid w:val="008B7B7B"/>
    <w:rsid w:val="008C0622"/>
    <w:rsid w:val="008C130B"/>
    <w:rsid w:val="008C15BC"/>
    <w:rsid w:val="008C180C"/>
    <w:rsid w:val="008C18D9"/>
    <w:rsid w:val="008C2BFB"/>
    <w:rsid w:val="008C2DAD"/>
    <w:rsid w:val="008C5046"/>
    <w:rsid w:val="008C52FD"/>
    <w:rsid w:val="008C5870"/>
    <w:rsid w:val="008C6FAF"/>
    <w:rsid w:val="008D1BB2"/>
    <w:rsid w:val="008D2501"/>
    <w:rsid w:val="008D3757"/>
    <w:rsid w:val="008D3CBF"/>
    <w:rsid w:val="008D4F40"/>
    <w:rsid w:val="008D5961"/>
    <w:rsid w:val="008D6B7D"/>
    <w:rsid w:val="008D6FA0"/>
    <w:rsid w:val="008D7034"/>
    <w:rsid w:val="008D7479"/>
    <w:rsid w:val="008E2A60"/>
    <w:rsid w:val="008E2BE0"/>
    <w:rsid w:val="008E2D53"/>
    <w:rsid w:val="008E30E2"/>
    <w:rsid w:val="008E361C"/>
    <w:rsid w:val="008E3E34"/>
    <w:rsid w:val="008E50CE"/>
    <w:rsid w:val="008F0354"/>
    <w:rsid w:val="008F1743"/>
    <w:rsid w:val="008F443B"/>
    <w:rsid w:val="008F4B76"/>
    <w:rsid w:val="008F4CD1"/>
    <w:rsid w:val="008F4DD4"/>
    <w:rsid w:val="008F54B0"/>
    <w:rsid w:val="008F5FB8"/>
    <w:rsid w:val="00900555"/>
    <w:rsid w:val="009012CB"/>
    <w:rsid w:val="00901B82"/>
    <w:rsid w:val="0090253D"/>
    <w:rsid w:val="00902719"/>
    <w:rsid w:val="00902D13"/>
    <w:rsid w:val="009032C3"/>
    <w:rsid w:val="009035C0"/>
    <w:rsid w:val="00904412"/>
    <w:rsid w:val="00905870"/>
    <w:rsid w:val="009100A8"/>
    <w:rsid w:val="00911375"/>
    <w:rsid w:val="00911514"/>
    <w:rsid w:val="00914D85"/>
    <w:rsid w:val="00915732"/>
    <w:rsid w:val="00916629"/>
    <w:rsid w:val="00917B16"/>
    <w:rsid w:val="00917F21"/>
    <w:rsid w:val="00920547"/>
    <w:rsid w:val="0092307F"/>
    <w:rsid w:val="0093098E"/>
    <w:rsid w:val="009309C4"/>
    <w:rsid w:val="0093177F"/>
    <w:rsid w:val="00932031"/>
    <w:rsid w:val="009325B8"/>
    <w:rsid w:val="009328B3"/>
    <w:rsid w:val="00933455"/>
    <w:rsid w:val="0093347B"/>
    <w:rsid w:val="00935142"/>
    <w:rsid w:val="009354AD"/>
    <w:rsid w:val="00935866"/>
    <w:rsid w:val="009359C1"/>
    <w:rsid w:val="00936587"/>
    <w:rsid w:val="00937B9F"/>
    <w:rsid w:val="00937D17"/>
    <w:rsid w:val="0094004F"/>
    <w:rsid w:val="00941C0B"/>
    <w:rsid w:val="00942F5C"/>
    <w:rsid w:val="00944809"/>
    <w:rsid w:val="00944B81"/>
    <w:rsid w:val="00945CDF"/>
    <w:rsid w:val="00946022"/>
    <w:rsid w:val="00946088"/>
    <w:rsid w:val="009465FC"/>
    <w:rsid w:val="00952470"/>
    <w:rsid w:val="00956709"/>
    <w:rsid w:val="0095693F"/>
    <w:rsid w:val="009573D9"/>
    <w:rsid w:val="00957E62"/>
    <w:rsid w:val="00960870"/>
    <w:rsid w:val="00960E96"/>
    <w:rsid w:val="00961D1E"/>
    <w:rsid w:val="00961E7C"/>
    <w:rsid w:val="00961FC2"/>
    <w:rsid w:val="00962C06"/>
    <w:rsid w:val="00963248"/>
    <w:rsid w:val="0096427F"/>
    <w:rsid w:val="0096557B"/>
    <w:rsid w:val="009661C3"/>
    <w:rsid w:val="00967628"/>
    <w:rsid w:val="00967DF1"/>
    <w:rsid w:val="00971632"/>
    <w:rsid w:val="00971DC3"/>
    <w:rsid w:val="009720AA"/>
    <w:rsid w:val="0097246C"/>
    <w:rsid w:val="009729DF"/>
    <w:rsid w:val="00973755"/>
    <w:rsid w:val="00973E5C"/>
    <w:rsid w:val="00974C4B"/>
    <w:rsid w:val="00976257"/>
    <w:rsid w:val="00976459"/>
    <w:rsid w:val="00980E16"/>
    <w:rsid w:val="009816B1"/>
    <w:rsid w:val="00983C23"/>
    <w:rsid w:val="00984104"/>
    <w:rsid w:val="009856F7"/>
    <w:rsid w:val="00985C99"/>
    <w:rsid w:val="00990F4F"/>
    <w:rsid w:val="00994A27"/>
    <w:rsid w:val="00997359"/>
    <w:rsid w:val="009A1106"/>
    <w:rsid w:val="009A1C2D"/>
    <w:rsid w:val="009A1E2F"/>
    <w:rsid w:val="009A2A27"/>
    <w:rsid w:val="009A528D"/>
    <w:rsid w:val="009A5584"/>
    <w:rsid w:val="009A57E4"/>
    <w:rsid w:val="009A5BFC"/>
    <w:rsid w:val="009A7476"/>
    <w:rsid w:val="009B0886"/>
    <w:rsid w:val="009B0AB1"/>
    <w:rsid w:val="009B0F90"/>
    <w:rsid w:val="009B134F"/>
    <w:rsid w:val="009B1DA4"/>
    <w:rsid w:val="009B2714"/>
    <w:rsid w:val="009B3608"/>
    <w:rsid w:val="009B3F47"/>
    <w:rsid w:val="009B4E6E"/>
    <w:rsid w:val="009C193A"/>
    <w:rsid w:val="009C2206"/>
    <w:rsid w:val="009C3C3B"/>
    <w:rsid w:val="009C7BCC"/>
    <w:rsid w:val="009D0B96"/>
    <w:rsid w:val="009D1DC1"/>
    <w:rsid w:val="009D25FD"/>
    <w:rsid w:val="009D3C09"/>
    <w:rsid w:val="009D4A7B"/>
    <w:rsid w:val="009D535F"/>
    <w:rsid w:val="009D5FFA"/>
    <w:rsid w:val="009D7011"/>
    <w:rsid w:val="009D7101"/>
    <w:rsid w:val="009D73BE"/>
    <w:rsid w:val="009D78CF"/>
    <w:rsid w:val="009D7EFD"/>
    <w:rsid w:val="009E04D4"/>
    <w:rsid w:val="009E1882"/>
    <w:rsid w:val="009E2F47"/>
    <w:rsid w:val="009E336D"/>
    <w:rsid w:val="009E4618"/>
    <w:rsid w:val="009E4735"/>
    <w:rsid w:val="009E5F7F"/>
    <w:rsid w:val="009E67A6"/>
    <w:rsid w:val="009E6D11"/>
    <w:rsid w:val="009E7A64"/>
    <w:rsid w:val="009F02E2"/>
    <w:rsid w:val="009F031B"/>
    <w:rsid w:val="009F03DE"/>
    <w:rsid w:val="009F1778"/>
    <w:rsid w:val="009F21B6"/>
    <w:rsid w:val="009F255D"/>
    <w:rsid w:val="009F2A22"/>
    <w:rsid w:val="009F2A42"/>
    <w:rsid w:val="009F3214"/>
    <w:rsid w:val="009F4D12"/>
    <w:rsid w:val="009F72C8"/>
    <w:rsid w:val="009F76D9"/>
    <w:rsid w:val="009F7746"/>
    <w:rsid w:val="00A004FB"/>
    <w:rsid w:val="00A03B48"/>
    <w:rsid w:val="00A041FE"/>
    <w:rsid w:val="00A045A6"/>
    <w:rsid w:val="00A069F6"/>
    <w:rsid w:val="00A06E0A"/>
    <w:rsid w:val="00A07C90"/>
    <w:rsid w:val="00A10730"/>
    <w:rsid w:val="00A10E74"/>
    <w:rsid w:val="00A1102D"/>
    <w:rsid w:val="00A12C71"/>
    <w:rsid w:val="00A13202"/>
    <w:rsid w:val="00A13950"/>
    <w:rsid w:val="00A16881"/>
    <w:rsid w:val="00A16C03"/>
    <w:rsid w:val="00A170DF"/>
    <w:rsid w:val="00A201ED"/>
    <w:rsid w:val="00A20CA6"/>
    <w:rsid w:val="00A21309"/>
    <w:rsid w:val="00A22973"/>
    <w:rsid w:val="00A22F8D"/>
    <w:rsid w:val="00A23EA8"/>
    <w:rsid w:val="00A23F82"/>
    <w:rsid w:val="00A25DD8"/>
    <w:rsid w:val="00A25E6D"/>
    <w:rsid w:val="00A26D18"/>
    <w:rsid w:val="00A271A9"/>
    <w:rsid w:val="00A30460"/>
    <w:rsid w:val="00A320A8"/>
    <w:rsid w:val="00A3297F"/>
    <w:rsid w:val="00A3353F"/>
    <w:rsid w:val="00A34D00"/>
    <w:rsid w:val="00A360A0"/>
    <w:rsid w:val="00A3623F"/>
    <w:rsid w:val="00A41BDE"/>
    <w:rsid w:val="00A42036"/>
    <w:rsid w:val="00A4259F"/>
    <w:rsid w:val="00A43083"/>
    <w:rsid w:val="00A43174"/>
    <w:rsid w:val="00A4354F"/>
    <w:rsid w:val="00A4391C"/>
    <w:rsid w:val="00A441D4"/>
    <w:rsid w:val="00A44F0C"/>
    <w:rsid w:val="00A46DD4"/>
    <w:rsid w:val="00A506EC"/>
    <w:rsid w:val="00A53052"/>
    <w:rsid w:val="00A5330F"/>
    <w:rsid w:val="00A5335A"/>
    <w:rsid w:val="00A53529"/>
    <w:rsid w:val="00A53CA1"/>
    <w:rsid w:val="00A54EBD"/>
    <w:rsid w:val="00A556A5"/>
    <w:rsid w:val="00A558BB"/>
    <w:rsid w:val="00A55CCC"/>
    <w:rsid w:val="00A576D8"/>
    <w:rsid w:val="00A5777A"/>
    <w:rsid w:val="00A57A5F"/>
    <w:rsid w:val="00A60946"/>
    <w:rsid w:val="00A613ED"/>
    <w:rsid w:val="00A6287B"/>
    <w:rsid w:val="00A629A3"/>
    <w:rsid w:val="00A639D3"/>
    <w:rsid w:val="00A63E25"/>
    <w:rsid w:val="00A660E0"/>
    <w:rsid w:val="00A66BCE"/>
    <w:rsid w:val="00A6763A"/>
    <w:rsid w:val="00A67A25"/>
    <w:rsid w:val="00A67A88"/>
    <w:rsid w:val="00A70B72"/>
    <w:rsid w:val="00A71B0E"/>
    <w:rsid w:val="00A720A8"/>
    <w:rsid w:val="00A721D8"/>
    <w:rsid w:val="00A723B2"/>
    <w:rsid w:val="00A72611"/>
    <w:rsid w:val="00A72ACF"/>
    <w:rsid w:val="00A73597"/>
    <w:rsid w:val="00A810CC"/>
    <w:rsid w:val="00A82987"/>
    <w:rsid w:val="00A831CB"/>
    <w:rsid w:val="00A8758B"/>
    <w:rsid w:val="00A90A84"/>
    <w:rsid w:val="00A912CE"/>
    <w:rsid w:val="00A921D7"/>
    <w:rsid w:val="00A9279F"/>
    <w:rsid w:val="00A93925"/>
    <w:rsid w:val="00A93EFC"/>
    <w:rsid w:val="00A93F77"/>
    <w:rsid w:val="00A94135"/>
    <w:rsid w:val="00A94799"/>
    <w:rsid w:val="00A954C5"/>
    <w:rsid w:val="00AA1B93"/>
    <w:rsid w:val="00AA1D5D"/>
    <w:rsid w:val="00AA24BE"/>
    <w:rsid w:val="00AA357C"/>
    <w:rsid w:val="00AA36EE"/>
    <w:rsid w:val="00AA4949"/>
    <w:rsid w:val="00AA4C1C"/>
    <w:rsid w:val="00AA588E"/>
    <w:rsid w:val="00AA611A"/>
    <w:rsid w:val="00AA63F3"/>
    <w:rsid w:val="00AA6DAC"/>
    <w:rsid w:val="00AA716A"/>
    <w:rsid w:val="00AA78B0"/>
    <w:rsid w:val="00AB1510"/>
    <w:rsid w:val="00AB1FA0"/>
    <w:rsid w:val="00AB71B5"/>
    <w:rsid w:val="00AC157E"/>
    <w:rsid w:val="00AC1C1F"/>
    <w:rsid w:val="00AC1CDA"/>
    <w:rsid w:val="00AC2181"/>
    <w:rsid w:val="00AC2E95"/>
    <w:rsid w:val="00AC3747"/>
    <w:rsid w:val="00AC4518"/>
    <w:rsid w:val="00AC67BF"/>
    <w:rsid w:val="00AD15AF"/>
    <w:rsid w:val="00AD292B"/>
    <w:rsid w:val="00AD3101"/>
    <w:rsid w:val="00AD4BAD"/>
    <w:rsid w:val="00AD6017"/>
    <w:rsid w:val="00AD6584"/>
    <w:rsid w:val="00AD65F9"/>
    <w:rsid w:val="00AD6DE1"/>
    <w:rsid w:val="00AE0068"/>
    <w:rsid w:val="00AE08DD"/>
    <w:rsid w:val="00AE15DC"/>
    <w:rsid w:val="00AE19D1"/>
    <w:rsid w:val="00AE1A92"/>
    <w:rsid w:val="00AE1E34"/>
    <w:rsid w:val="00AE2470"/>
    <w:rsid w:val="00AE2D69"/>
    <w:rsid w:val="00AE3496"/>
    <w:rsid w:val="00AE4530"/>
    <w:rsid w:val="00AE4598"/>
    <w:rsid w:val="00AE5C6D"/>
    <w:rsid w:val="00AE668F"/>
    <w:rsid w:val="00AF0815"/>
    <w:rsid w:val="00AF1843"/>
    <w:rsid w:val="00AF25C6"/>
    <w:rsid w:val="00AF3016"/>
    <w:rsid w:val="00AF3370"/>
    <w:rsid w:val="00AF50F2"/>
    <w:rsid w:val="00AF611A"/>
    <w:rsid w:val="00AF61DD"/>
    <w:rsid w:val="00B002F6"/>
    <w:rsid w:val="00B00D3C"/>
    <w:rsid w:val="00B01D68"/>
    <w:rsid w:val="00B035C9"/>
    <w:rsid w:val="00B03C3B"/>
    <w:rsid w:val="00B04EBB"/>
    <w:rsid w:val="00B060D3"/>
    <w:rsid w:val="00B06368"/>
    <w:rsid w:val="00B10922"/>
    <w:rsid w:val="00B116ED"/>
    <w:rsid w:val="00B1215E"/>
    <w:rsid w:val="00B12FAD"/>
    <w:rsid w:val="00B13DDE"/>
    <w:rsid w:val="00B142C1"/>
    <w:rsid w:val="00B14B7E"/>
    <w:rsid w:val="00B16396"/>
    <w:rsid w:val="00B20319"/>
    <w:rsid w:val="00B232FD"/>
    <w:rsid w:val="00B27FC3"/>
    <w:rsid w:val="00B27FD8"/>
    <w:rsid w:val="00B30C95"/>
    <w:rsid w:val="00B317C5"/>
    <w:rsid w:val="00B33EC4"/>
    <w:rsid w:val="00B3432A"/>
    <w:rsid w:val="00B34343"/>
    <w:rsid w:val="00B3531D"/>
    <w:rsid w:val="00B365DA"/>
    <w:rsid w:val="00B37A16"/>
    <w:rsid w:val="00B40AF7"/>
    <w:rsid w:val="00B423A6"/>
    <w:rsid w:val="00B424F1"/>
    <w:rsid w:val="00B444B9"/>
    <w:rsid w:val="00B45382"/>
    <w:rsid w:val="00B45B95"/>
    <w:rsid w:val="00B45E5A"/>
    <w:rsid w:val="00B46331"/>
    <w:rsid w:val="00B5210A"/>
    <w:rsid w:val="00B53C4B"/>
    <w:rsid w:val="00B54478"/>
    <w:rsid w:val="00B56B13"/>
    <w:rsid w:val="00B56CF4"/>
    <w:rsid w:val="00B60226"/>
    <w:rsid w:val="00B60991"/>
    <w:rsid w:val="00B60B43"/>
    <w:rsid w:val="00B6172A"/>
    <w:rsid w:val="00B62026"/>
    <w:rsid w:val="00B62DBF"/>
    <w:rsid w:val="00B6571A"/>
    <w:rsid w:val="00B67026"/>
    <w:rsid w:val="00B707C1"/>
    <w:rsid w:val="00B71BB7"/>
    <w:rsid w:val="00B733A0"/>
    <w:rsid w:val="00B77174"/>
    <w:rsid w:val="00B82574"/>
    <w:rsid w:val="00B830CA"/>
    <w:rsid w:val="00B845DE"/>
    <w:rsid w:val="00B84EEB"/>
    <w:rsid w:val="00B850BF"/>
    <w:rsid w:val="00B857CC"/>
    <w:rsid w:val="00B85B25"/>
    <w:rsid w:val="00B86CDE"/>
    <w:rsid w:val="00B87619"/>
    <w:rsid w:val="00B87C82"/>
    <w:rsid w:val="00B87F82"/>
    <w:rsid w:val="00B91436"/>
    <w:rsid w:val="00B942F6"/>
    <w:rsid w:val="00B94A32"/>
    <w:rsid w:val="00B94B87"/>
    <w:rsid w:val="00B95F44"/>
    <w:rsid w:val="00B96E8B"/>
    <w:rsid w:val="00B97C5B"/>
    <w:rsid w:val="00BA107F"/>
    <w:rsid w:val="00BA2308"/>
    <w:rsid w:val="00BA47F8"/>
    <w:rsid w:val="00BA4FCD"/>
    <w:rsid w:val="00BA50FA"/>
    <w:rsid w:val="00BA5481"/>
    <w:rsid w:val="00BA7E96"/>
    <w:rsid w:val="00BB00CD"/>
    <w:rsid w:val="00BB07B7"/>
    <w:rsid w:val="00BB3A62"/>
    <w:rsid w:val="00BB4109"/>
    <w:rsid w:val="00BB4D2E"/>
    <w:rsid w:val="00BB64AC"/>
    <w:rsid w:val="00BB7810"/>
    <w:rsid w:val="00BC13A0"/>
    <w:rsid w:val="00BC14B6"/>
    <w:rsid w:val="00BC151B"/>
    <w:rsid w:val="00BC1F26"/>
    <w:rsid w:val="00BC4545"/>
    <w:rsid w:val="00BC5F38"/>
    <w:rsid w:val="00BC605F"/>
    <w:rsid w:val="00BD2B70"/>
    <w:rsid w:val="00BD54C7"/>
    <w:rsid w:val="00BD5D06"/>
    <w:rsid w:val="00BD66D9"/>
    <w:rsid w:val="00BD6F08"/>
    <w:rsid w:val="00BE0DC8"/>
    <w:rsid w:val="00BE1E6D"/>
    <w:rsid w:val="00BE2371"/>
    <w:rsid w:val="00BE32C8"/>
    <w:rsid w:val="00BE4379"/>
    <w:rsid w:val="00BE457B"/>
    <w:rsid w:val="00BE7BB6"/>
    <w:rsid w:val="00BF0262"/>
    <w:rsid w:val="00BF0BCB"/>
    <w:rsid w:val="00BF15A1"/>
    <w:rsid w:val="00BF2202"/>
    <w:rsid w:val="00BF273A"/>
    <w:rsid w:val="00BF47D2"/>
    <w:rsid w:val="00BF4BAE"/>
    <w:rsid w:val="00BF4CDB"/>
    <w:rsid w:val="00BF58FF"/>
    <w:rsid w:val="00BF59CD"/>
    <w:rsid w:val="00BF5BC6"/>
    <w:rsid w:val="00BF7FF9"/>
    <w:rsid w:val="00C004A0"/>
    <w:rsid w:val="00C0295D"/>
    <w:rsid w:val="00C02A15"/>
    <w:rsid w:val="00C0318E"/>
    <w:rsid w:val="00C04384"/>
    <w:rsid w:val="00C0501D"/>
    <w:rsid w:val="00C07E9B"/>
    <w:rsid w:val="00C12A70"/>
    <w:rsid w:val="00C130A9"/>
    <w:rsid w:val="00C139A4"/>
    <w:rsid w:val="00C144DA"/>
    <w:rsid w:val="00C1596D"/>
    <w:rsid w:val="00C1650C"/>
    <w:rsid w:val="00C16EBE"/>
    <w:rsid w:val="00C21BA4"/>
    <w:rsid w:val="00C22316"/>
    <w:rsid w:val="00C2385C"/>
    <w:rsid w:val="00C2396D"/>
    <w:rsid w:val="00C25DD3"/>
    <w:rsid w:val="00C260C9"/>
    <w:rsid w:val="00C26119"/>
    <w:rsid w:val="00C30088"/>
    <w:rsid w:val="00C3023A"/>
    <w:rsid w:val="00C32024"/>
    <w:rsid w:val="00C3346B"/>
    <w:rsid w:val="00C34B5B"/>
    <w:rsid w:val="00C3515C"/>
    <w:rsid w:val="00C3517E"/>
    <w:rsid w:val="00C35E97"/>
    <w:rsid w:val="00C36A73"/>
    <w:rsid w:val="00C40F17"/>
    <w:rsid w:val="00C413F6"/>
    <w:rsid w:val="00C420BC"/>
    <w:rsid w:val="00C42E81"/>
    <w:rsid w:val="00C4528A"/>
    <w:rsid w:val="00C45438"/>
    <w:rsid w:val="00C46257"/>
    <w:rsid w:val="00C46551"/>
    <w:rsid w:val="00C4694B"/>
    <w:rsid w:val="00C47899"/>
    <w:rsid w:val="00C47CCA"/>
    <w:rsid w:val="00C5069B"/>
    <w:rsid w:val="00C530F5"/>
    <w:rsid w:val="00C54428"/>
    <w:rsid w:val="00C55DF1"/>
    <w:rsid w:val="00C55ED0"/>
    <w:rsid w:val="00C56E62"/>
    <w:rsid w:val="00C57F53"/>
    <w:rsid w:val="00C600C4"/>
    <w:rsid w:val="00C60268"/>
    <w:rsid w:val="00C60794"/>
    <w:rsid w:val="00C614E3"/>
    <w:rsid w:val="00C623F0"/>
    <w:rsid w:val="00C627FE"/>
    <w:rsid w:val="00C62C20"/>
    <w:rsid w:val="00C62C74"/>
    <w:rsid w:val="00C63F39"/>
    <w:rsid w:val="00C66BDB"/>
    <w:rsid w:val="00C66C3C"/>
    <w:rsid w:val="00C703F6"/>
    <w:rsid w:val="00C70B4C"/>
    <w:rsid w:val="00C71012"/>
    <w:rsid w:val="00C71EF5"/>
    <w:rsid w:val="00C72EE2"/>
    <w:rsid w:val="00C744EA"/>
    <w:rsid w:val="00C76F38"/>
    <w:rsid w:val="00C777B0"/>
    <w:rsid w:val="00C77B5B"/>
    <w:rsid w:val="00C80AFF"/>
    <w:rsid w:val="00C83E40"/>
    <w:rsid w:val="00C863CB"/>
    <w:rsid w:val="00C87B17"/>
    <w:rsid w:val="00C92303"/>
    <w:rsid w:val="00C92A71"/>
    <w:rsid w:val="00C9371B"/>
    <w:rsid w:val="00C93FD9"/>
    <w:rsid w:val="00C942EF"/>
    <w:rsid w:val="00C96091"/>
    <w:rsid w:val="00C96E0C"/>
    <w:rsid w:val="00CA0284"/>
    <w:rsid w:val="00CA10BF"/>
    <w:rsid w:val="00CA1A6F"/>
    <w:rsid w:val="00CA1E45"/>
    <w:rsid w:val="00CA2864"/>
    <w:rsid w:val="00CA383F"/>
    <w:rsid w:val="00CA4254"/>
    <w:rsid w:val="00CA4A26"/>
    <w:rsid w:val="00CA57FC"/>
    <w:rsid w:val="00CA5F54"/>
    <w:rsid w:val="00CA706B"/>
    <w:rsid w:val="00CA7BC6"/>
    <w:rsid w:val="00CA7D94"/>
    <w:rsid w:val="00CB2B9A"/>
    <w:rsid w:val="00CB4B50"/>
    <w:rsid w:val="00CB6D68"/>
    <w:rsid w:val="00CB7139"/>
    <w:rsid w:val="00CC3003"/>
    <w:rsid w:val="00CC382A"/>
    <w:rsid w:val="00CC3B2A"/>
    <w:rsid w:val="00CC3E6F"/>
    <w:rsid w:val="00CC41D9"/>
    <w:rsid w:val="00CC4C4A"/>
    <w:rsid w:val="00CC4C51"/>
    <w:rsid w:val="00CC51C2"/>
    <w:rsid w:val="00CC712E"/>
    <w:rsid w:val="00CC7E8E"/>
    <w:rsid w:val="00CD110C"/>
    <w:rsid w:val="00CD22DD"/>
    <w:rsid w:val="00CD24E1"/>
    <w:rsid w:val="00CD32EE"/>
    <w:rsid w:val="00CD462C"/>
    <w:rsid w:val="00CD7038"/>
    <w:rsid w:val="00CE017D"/>
    <w:rsid w:val="00CE0730"/>
    <w:rsid w:val="00CE10E0"/>
    <w:rsid w:val="00CE46DA"/>
    <w:rsid w:val="00CE5203"/>
    <w:rsid w:val="00CE5DAC"/>
    <w:rsid w:val="00CF0FDC"/>
    <w:rsid w:val="00CF1385"/>
    <w:rsid w:val="00CF27D2"/>
    <w:rsid w:val="00CF2B18"/>
    <w:rsid w:val="00CF3576"/>
    <w:rsid w:val="00CF3C1A"/>
    <w:rsid w:val="00CF3C62"/>
    <w:rsid w:val="00CF55E9"/>
    <w:rsid w:val="00CF7220"/>
    <w:rsid w:val="00CF7668"/>
    <w:rsid w:val="00D003F0"/>
    <w:rsid w:val="00D01AE1"/>
    <w:rsid w:val="00D024E2"/>
    <w:rsid w:val="00D026D7"/>
    <w:rsid w:val="00D03DFB"/>
    <w:rsid w:val="00D06B4A"/>
    <w:rsid w:val="00D06FC7"/>
    <w:rsid w:val="00D07AC1"/>
    <w:rsid w:val="00D13384"/>
    <w:rsid w:val="00D13D9A"/>
    <w:rsid w:val="00D14EB4"/>
    <w:rsid w:val="00D1520C"/>
    <w:rsid w:val="00D15B59"/>
    <w:rsid w:val="00D167CE"/>
    <w:rsid w:val="00D178C0"/>
    <w:rsid w:val="00D17ED5"/>
    <w:rsid w:val="00D219E4"/>
    <w:rsid w:val="00D234C2"/>
    <w:rsid w:val="00D23EB3"/>
    <w:rsid w:val="00D25270"/>
    <w:rsid w:val="00D25619"/>
    <w:rsid w:val="00D2569A"/>
    <w:rsid w:val="00D307FB"/>
    <w:rsid w:val="00D31BAE"/>
    <w:rsid w:val="00D32441"/>
    <w:rsid w:val="00D348DE"/>
    <w:rsid w:val="00D34D12"/>
    <w:rsid w:val="00D35F7A"/>
    <w:rsid w:val="00D36163"/>
    <w:rsid w:val="00D40834"/>
    <w:rsid w:val="00D40A20"/>
    <w:rsid w:val="00D40B22"/>
    <w:rsid w:val="00D41AEB"/>
    <w:rsid w:val="00D41C29"/>
    <w:rsid w:val="00D42E14"/>
    <w:rsid w:val="00D44745"/>
    <w:rsid w:val="00D452BC"/>
    <w:rsid w:val="00D502C5"/>
    <w:rsid w:val="00D51517"/>
    <w:rsid w:val="00D5157D"/>
    <w:rsid w:val="00D51B2D"/>
    <w:rsid w:val="00D51CDD"/>
    <w:rsid w:val="00D52300"/>
    <w:rsid w:val="00D52967"/>
    <w:rsid w:val="00D52C3D"/>
    <w:rsid w:val="00D5334F"/>
    <w:rsid w:val="00D537D1"/>
    <w:rsid w:val="00D54625"/>
    <w:rsid w:val="00D54E08"/>
    <w:rsid w:val="00D5582E"/>
    <w:rsid w:val="00D5623C"/>
    <w:rsid w:val="00D5726E"/>
    <w:rsid w:val="00D60243"/>
    <w:rsid w:val="00D60928"/>
    <w:rsid w:val="00D61B22"/>
    <w:rsid w:val="00D65922"/>
    <w:rsid w:val="00D66162"/>
    <w:rsid w:val="00D67053"/>
    <w:rsid w:val="00D673EB"/>
    <w:rsid w:val="00D67FD1"/>
    <w:rsid w:val="00D71D27"/>
    <w:rsid w:val="00D720C6"/>
    <w:rsid w:val="00D72312"/>
    <w:rsid w:val="00D72F36"/>
    <w:rsid w:val="00D755FF"/>
    <w:rsid w:val="00D75BB6"/>
    <w:rsid w:val="00D7679F"/>
    <w:rsid w:val="00D76E3B"/>
    <w:rsid w:val="00D775DD"/>
    <w:rsid w:val="00D80FA5"/>
    <w:rsid w:val="00D81B6A"/>
    <w:rsid w:val="00D81F0A"/>
    <w:rsid w:val="00D82736"/>
    <w:rsid w:val="00D84DD3"/>
    <w:rsid w:val="00D86954"/>
    <w:rsid w:val="00D86D7E"/>
    <w:rsid w:val="00D86E09"/>
    <w:rsid w:val="00D87972"/>
    <w:rsid w:val="00D922F0"/>
    <w:rsid w:val="00D92E16"/>
    <w:rsid w:val="00D93AF9"/>
    <w:rsid w:val="00D94BBA"/>
    <w:rsid w:val="00D95177"/>
    <w:rsid w:val="00D95B98"/>
    <w:rsid w:val="00D95EE4"/>
    <w:rsid w:val="00D96ACA"/>
    <w:rsid w:val="00D97408"/>
    <w:rsid w:val="00D978A9"/>
    <w:rsid w:val="00DA0E7D"/>
    <w:rsid w:val="00DA418B"/>
    <w:rsid w:val="00DA56B9"/>
    <w:rsid w:val="00DA5ADA"/>
    <w:rsid w:val="00DA5E24"/>
    <w:rsid w:val="00DA64C7"/>
    <w:rsid w:val="00DA6EE2"/>
    <w:rsid w:val="00DA7D24"/>
    <w:rsid w:val="00DB1152"/>
    <w:rsid w:val="00DB1645"/>
    <w:rsid w:val="00DB1D7D"/>
    <w:rsid w:val="00DB1EF0"/>
    <w:rsid w:val="00DB3D57"/>
    <w:rsid w:val="00DB658B"/>
    <w:rsid w:val="00DB7434"/>
    <w:rsid w:val="00DC1CC9"/>
    <w:rsid w:val="00DC2829"/>
    <w:rsid w:val="00DC3C97"/>
    <w:rsid w:val="00DC5333"/>
    <w:rsid w:val="00DC7442"/>
    <w:rsid w:val="00DD0708"/>
    <w:rsid w:val="00DD1E15"/>
    <w:rsid w:val="00DD3CE3"/>
    <w:rsid w:val="00DD4D78"/>
    <w:rsid w:val="00DD5C4E"/>
    <w:rsid w:val="00DD63FE"/>
    <w:rsid w:val="00DD6DB7"/>
    <w:rsid w:val="00DD7165"/>
    <w:rsid w:val="00DD75B9"/>
    <w:rsid w:val="00DE0090"/>
    <w:rsid w:val="00DE03F4"/>
    <w:rsid w:val="00DE288A"/>
    <w:rsid w:val="00DE30B6"/>
    <w:rsid w:val="00DE55B1"/>
    <w:rsid w:val="00DE5CF3"/>
    <w:rsid w:val="00DE62C3"/>
    <w:rsid w:val="00DE62F3"/>
    <w:rsid w:val="00DE6334"/>
    <w:rsid w:val="00DE6B4C"/>
    <w:rsid w:val="00DE74AD"/>
    <w:rsid w:val="00DF05C6"/>
    <w:rsid w:val="00DF081D"/>
    <w:rsid w:val="00DF2377"/>
    <w:rsid w:val="00DF278B"/>
    <w:rsid w:val="00DF3FD5"/>
    <w:rsid w:val="00DF4EB4"/>
    <w:rsid w:val="00DF5505"/>
    <w:rsid w:val="00DF5AAF"/>
    <w:rsid w:val="00DF7AF5"/>
    <w:rsid w:val="00E00B79"/>
    <w:rsid w:val="00E012F4"/>
    <w:rsid w:val="00E0337B"/>
    <w:rsid w:val="00E03452"/>
    <w:rsid w:val="00E047B4"/>
    <w:rsid w:val="00E04CC6"/>
    <w:rsid w:val="00E05665"/>
    <w:rsid w:val="00E07C6B"/>
    <w:rsid w:val="00E07F9E"/>
    <w:rsid w:val="00E10D3A"/>
    <w:rsid w:val="00E122A4"/>
    <w:rsid w:val="00E1236A"/>
    <w:rsid w:val="00E16F88"/>
    <w:rsid w:val="00E2005A"/>
    <w:rsid w:val="00E2113B"/>
    <w:rsid w:val="00E21202"/>
    <w:rsid w:val="00E21964"/>
    <w:rsid w:val="00E21BFC"/>
    <w:rsid w:val="00E23AC3"/>
    <w:rsid w:val="00E25189"/>
    <w:rsid w:val="00E25703"/>
    <w:rsid w:val="00E265D0"/>
    <w:rsid w:val="00E26EB1"/>
    <w:rsid w:val="00E31475"/>
    <w:rsid w:val="00E32E9F"/>
    <w:rsid w:val="00E32EC2"/>
    <w:rsid w:val="00E33DCF"/>
    <w:rsid w:val="00E3459B"/>
    <w:rsid w:val="00E3482D"/>
    <w:rsid w:val="00E3629A"/>
    <w:rsid w:val="00E3651B"/>
    <w:rsid w:val="00E36B79"/>
    <w:rsid w:val="00E36CD1"/>
    <w:rsid w:val="00E37154"/>
    <w:rsid w:val="00E3765F"/>
    <w:rsid w:val="00E40A90"/>
    <w:rsid w:val="00E415C4"/>
    <w:rsid w:val="00E42860"/>
    <w:rsid w:val="00E42C29"/>
    <w:rsid w:val="00E435D7"/>
    <w:rsid w:val="00E466CA"/>
    <w:rsid w:val="00E47FDB"/>
    <w:rsid w:val="00E511EB"/>
    <w:rsid w:val="00E512F7"/>
    <w:rsid w:val="00E521E1"/>
    <w:rsid w:val="00E52FBE"/>
    <w:rsid w:val="00E556BD"/>
    <w:rsid w:val="00E5595D"/>
    <w:rsid w:val="00E571A8"/>
    <w:rsid w:val="00E57611"/>
    <w:rsid w:val="00E6155E"/>
    <w:rsid w:val="00E62992"/>
    <w:rsid w:val="00E6387B"/>
    <w:rsid w:val="00E6639B"/>
    <w:rsid w:val="00E668E1"/>
    <w:rsid w:val="00E7112D"/>
    <w:rsid w:val="00E71911"/>
    <w:rsid w:val="00E72256"/>
    <w:rsid w:val="00E7264D"/>
    <w:rsid w:val="00E72881"/>
    <w:rsid w:val="00E73021"/>
    <w:rsid w:val="00E737DB"/>
    <w:rsid w:val="00E751D9"/>
    <w:rsid w:val="00E76963"/>
    <w:rsid w:val="00E77F59"/>
    <w:rsid w:val="00E8045D"/>
    <w:rsid w:val="00E80A64"/>
    <w:rsid w:val="00E817E7"/>
    <w:rsid w:val="00E81DF3"/>
    <w:rsid w:val="00E81F27"/>
    <w:rsid w:val="00E81FDB"/>
    <w:rsid w:val="00E81FDF"/>
    <w:rsid w:val="00E8281F"/>
    <w:rsid w:val="00E92ED0"/>
    <w:rsid w:val="00E9500A"/>
    <w:rsid w:val="00E9731B"/>
    <w:rsid w:val="00EA2245"/>
    <w:rsid w:val="00EA2438"/>
    <w:rsid w:val="00EA26FE"/>
    <w:rsid w:val="00EA2DCF"/>
    <w:rsid w:val="00EA2EEB"/>
    <w:rsid w:val="00EA36EA"/>
    <w:rsid w:val="00EA43B4"/>
    <w:rsid w:val="00EA584A"/>
    <w:rsid w:val="00EA7141"/>
    <w:rsid w:val="00EA72CB"/>
    <w:rsid w:val="00EB03F8"/>
    <w:rsid w:val="00EB0D84"/>
    <w:rsid w:val="00EB1BF4"/>
    <w:rsid w:val="00EB1D6F"/>
    <w:rsid w:val="00EB2008"/>
    <w:rsid w:val="00EB22B8"/>
    <w:rsid w:val="00EB3C3A"/>
    <w:rsid w:val="00EB3CB9"/>
    <w:rsid w:val="00EB5950"/>
    <w:rsid w:val="00EB59D5"/>
    <w:rsid w:val="00EB666C"/>
    <w:rsid w:val="00EB7D5C"/>
    <w:rsid w:val="00EC089C"/>
    <w:rsid w:val="00EC0B88"/>
    <w:rsid w:val="00EC1383"/>
    <w:rsid w:val="00EC1624"/>
    <w:rsid w:val="00EC1AFB"/>
    <w:rsid w:val="00EC2F5A"/>
    <w:rsid w:val="00EC33E5"/>
    <w:rsid w:val="00EC4496"/>
    <w:rsid w:val="00EC4509"/>
    <w:rsid w:val="00EC740E"/>
    <w:rsid w:val="00EC7F15"/>
    <w:rsid w:val="00ED2614"/>
    <w:rsid w:val="00ED4A90"/>
    <w:rsid w:val="00ED51C1"/>
    <w:rsid w:val="00EE05DD"/>
    <w:rsid w:val="00EE0A4F"/>
    <w:rsid w:val="00EE18EF"/>
    <w:rsid w:val="00EE366B"/>
    <w:rsid w:val="00EE565D"/>
    <w:rsid w:val="00EE5870"/>
    <w:rsid w:val="00EE5D4B"/>
    <w:rsid w:val="00EE6A69"/>
    <w:rsid w:val="00EF1D26"/>
    <w:rsid w:val="00EF2811"/>
    <w:rsid w:val="00EF297A"/>
    <w:rsid w:val="00EF44CF"/>
    <w:rsid w:val="00EF49D9"/>
    <w:rsid w:val="00F00C45"/>
    <w:rsid w:val="00F00E68"/>
    <w:rsid w:val="00F033EE"/>
    <w:rsid w:val="00F05D3B"/>
    <w:rsid w:val="00F065A3"/>
    <w:rsid w:val="00F0681F"/>
    <w:rsid w:val="00F07833"/>
    <w:rsid w:val="00F078FD"/>
    <w:rsid w:val="00F1004A"/>
    <w:rsid w:val="00F10231"/>
    <w:rsid w:val="00F11D7F"/>
    <w:rsid w:val="00F152C9"/>
    <w:rsid w:val="00F154D9"/>
    <w:rsid w:val="00F15D13"/>
    <w:rsid w:val="00F17457"/>
    <w:rsid w:val="00F20EB7"/>
    <w:rsid w:val="00F2374B"/>
    <w:rsid w:val="00F23EFA"/>
    <w:rsid w:val="00F25C83"/>
    <w:rsid w:val="00F26242"/>
    <w:rsid w:val="00F265C8"/>
    <w:rsid w:val="00F27931"/>
    <w:rsid w:val="00F31058"/>
    <w:rsid w:val="00F31947"/>
    <w:rsid w:val="00F32382"/>
    <w:rsid w:val="00F346AC"/>
    <w:rsid w:val="00F34D1A"/>
    <w:rsid w:val="00F370C9"/>
    <w:rsid w:val="00F371F3"/>
    <w:rsid w:val="00F377F2"/>
    <w:rsid w:val="00F40689"/>
    <w:rsid w:val="00F414C6"/>
    <w:rsid w:val="00F42251"/>
    <w:rsid w:val="00F43BE1"/>
    <w:rsid w:val="00F43F54"/>
    <w:rsid w:val="00F4400F"/>
    <w:rsid w:val="00F44165"/>
    <w:rsid w:val="00F44335"/>
    <w:rsid w:val="00F4535D"/>
    <w:rsid w:val="00F453EF"/>
    <w:rsid w:val="00F45486"/>
    <w:rsid w:val="00F458AB"/>
    <w:rsid w:val="00F45B49"/>
    <w:rsid w:val="00F465A8"/>
    <w:rsid w:val="00F467F0"/>
    <w:rsid w:val="00F5000B"/>
    <w:rsid w:val="00F500D7"/>
    <w:rsid w:val="00F50BF9"/>
    <w:rsid w:val="00F515BB"/>
    <w:rsid w:val="00F51822"/>
    <w:rsid w:val="00F51C4D"/>
    <w:rsid w:val="00F52D32"/>
    <w:rsid w:val="00F53CBC"/>
    <w:rsid w:val="00F541E7"/>
    <w:rsid w:val="00F547B6"/>
    <w:rsid w:val="00F56A2D"/>
    <w:rsid w:val="00F603A9"/>
    <w:rsid w:val="00F60561"/>
    <w:rsid w:val="00F60B48"/>
    <w:rsid w:val="00F6196E"/>
    <w:rsid w:val="00F61E54"/>
    <w:rsid w:val="00F62152"/>
    <w:rsid w:val="00F62812"/>
    <w:rsid w:val="00F6285F"/>
    <w:rsid w:val="00F63F50"/>
    <w:rsid w:val="00F64B06"/>
    <w:rsid w:val="00F65CA2"/>
    <w:rsid w:val="00F6696F"/>
    <w:rsid w:val="00F67EF0"/>
    <w:rsid w:val="00F71DB0"/>
    <w:rsid w:val="00F7228A"/>
    <w:rsid w:val="00F7368E"/>
    <w:rsid w:val="00F75636"/>
    <w:rsid w:val="00F76014"/>
    <w:rsid w:val="00F76E80"/>
    <w:rsid w:val="00F826CF"/>
    <w:rsid w:val="00F828C0"/>
    <w:rsid w:val="00F83BA5"/>
    <w:rsid w:val="00F83FBA"/>
    <w:rsid w:val="00F85120"/>
    <w:rsid w:val="00F856F6"/>
    <w:rsid w:val="00F86106"/>
    <w:rsid w:val="00F86148"/>
    <w:rsid w:val="00F86510"/>
    <w:rsid w:val="00F90FD4"/>
    <w:rsid w:val="00F91A70"/>
    <w:rsid w:val="00F91C5F"/>
    <w:rsid w:val="00F924A1"/>
    <w:rsid w:val="00F95A80"/>
    <w:rsid w:val="00F965EB"/>
    <w:rsid w:val="00F9786A"/>
    <w:rsid w:val="00F97D5D"/>
    <w:rsid w:val="00FA25DD"/>
    <w:rsid w:val="00FA3696"/>
    <w:rsid w:val="00FA41B1"/>
    <w:rsid w:val="00FA53AD"/>
    <w:rsid w:val="00FA609F"/>
    <w:rsid w:val="00FA6B56"/>
    <w:rsid w:val="00FA77C6"/>
    <w:rsid w:val="00FB3269"/>
    <w:rsid w:val="00FB3F79"/>
    <w:rsid w:val="00FB45D6"/>
    <w:rsid w:val="00FB62F7"/>
    <w:rsid w:val="00FC678B"/>
    <w:rsid w:val="00FC6A26"/>
    <w:rsid w:val="00FC6C0C"/>
    <w:rsid w:val="00FC797C"/>
    <w:rsid w:val="00FD0557"/>
    <w:rsid w:val="00FD1B99"/>
    <w:rsid w:val="00FD288F"/>
    <w:rsid w:val="00FD2A08"/>
    <w:rsid w:val="00FD2A53"/>
    <w:rsid w:val="00FD2B8B"/>
    <w:rsid w:val="00FD6F71"/>
    <w:rsid w:val="00FD6FFE"/>
    <w:rsid w:val="00FD787F"/>
    <w:rsid w:val="00FD7BA3"/>
    <w:rsid w:val="00FE1400"/>
    <w:rsid w:val="00FE1F19"/>
    <w:rsid w:val="00FE20F3"/>
    <w:rsid w:val="00FE28B2"/>
    <w:rsid w:val="00FE359A"/>
    <w:rsid w:val="00FE37A5"/>
    <w:rsid w:val="00FE3F75"/>
    <w:rsid w:val="00FE5406"/>
    <w:rsid w:val="00FE5C5C"/>
    <w:rsid w:val="00FE6CC0"/>
    <w:rsid w:val="00FF2A67"/>
    <w:rsid w:val="00FF2E0F"/>
    <w:rsid w:val="00FF328F"/>
    <w:rsid w:val="00FF399C"/>
    <w:rsid w:val="00FF3B11"/>
    <w:rsid w:val="00FF3CCA"/>
    <w:rsid w:val="00FF467E"/>
    <w:rsid w:val="00FF46E1"/>
    <w:rsid w:val="00FF48B3"/>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E0C"/>
    <w:pPr>
      <w:spacing w:line="256" w:lineRule="auto"/>
    </w:pPr>
    <w:rPr>
      <w:rFonts w:ascii="Calibri" w:eastAsia="MS Mincho"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line="259" w:lineRule="auto"/>
      <w:jc w:val="both"/>
      <w:outlineLvl w:val="0"/>
    </w:pPr>
    <w:rPr>
      <w:rFonts w:ascii="Times New Roman" w:eastAsiaTheme="minorEastAsia"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line="259" w:lineRule="auto"/>
      <w:jc w:val="both"/>
      <w:outlineLvl w:val="1"/>
    </w:pPr>
    <w:rPr>
      <w:rFonts w:ascii="Times New Roman" w:eastAsiaTheme="minorEastAsia"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line="259" w:lineRule="auto"/>
      <w:jc w:val="both"/>
      <w:outlineLvl w:val="2"/>
    </w:pPr>
    <w:rPr>
      <w:rFonts w:ascii="Times New Roman" w:eastAsiaTheme="minorEastAsia"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line="259" w:lineRule="auto"/>
      <w:jc w:val="both"/>
      <w:outlineLvl w:val="3"/>
    </w:pPr>
    <w:rPr>
      <w:rFonts w:ascii="Times New Roman" w:eastAsiaTheme="minorEastAsia"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line="259" w:lineRule="auto"/>
      <w:jc w:val="both"/>
      <w:outlineLvl w:val="4"/>
    </w:pPr>
    <w:rPr>
      <w:rFonts w:ascii="Times New Roman" w:eastAsiaTheme="minorEastAsia"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line="259" w:lineRule="auto"/>
      <w:jc w:val="both"/>
      <w:outlineLvl w:val="5"/>
    </w:pPr>
    <w:rPr>
      <w:rFonts w:ascii="Times New Roman" w:eastAsiaTheme="minorEastAsia"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line="259" w:lineRule="auto"/>
      <w:jc w:val="both"/>
      <w:outlineLvl w:val="6"/>
    </w:pPr>
    <w:rPr>
      <w:rFonts w:ascii="Times New Roman" w:eastAsiaTheme="minorEastAsia"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line="259" w:lineRule="auto"/>
      <w:jc w:val="both"/>
      <w:outlineLvl w:val="7"/>
    </w:pPr>
    <w:rPr>
      <w:rFonts w:ascii="Times New Roman" w:eastAsiaTheme="minorEastAsia"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line="259" w:lineRule="auto"/>
      <w:jc w:val="both"/>
      <w:outlineLvl w:val="8"/>
    </w:pPr>
    <w:rPr>
      <w:rFonts w:ascii="Arial" w:eastAsiaTheme="minorEastAsia"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line="259" w:lineRule="auto"/>
      <w:jc w:val="both"/>
    </w:pPr>
    <w:rPr>
      <w:rFonts w:ascii="Times New Roman" w:eastAsiaTheme="minorEastAsia"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1,列出段落,¥¡¡¡¡ì¬º¥¹¥È¶ÎÂä,ÁÐ³ö¶ÎÂä,¥ê¥¹¥È¶ÎÂä,列表段落1,—ño’i—Ž,1st level - Bullet List Paragraph,Lettre d'introduction,Paragrafo elenco,Normal bullet 2,Bullet list,목록단락,列,P"/>
    <w:basedOn w:val="Normal"/>
    <w:link w:val="ListParagraphChar"/>
    <w:uiPriority w:val="34"/>
    <w:qFormat/>
    <w:rsid w:val="009309C4"/>
    <w:pPr>
      <w:autoSpaceDE w:val="0"/>
      <w:autoSpaceDN w:val="0"/>
      <w:adjustRightInd w:val="0"/>
      <w:snapToGrid w:val="0"/>
      <w:spacing w:after="120" w:line="259" w:lineRule="auto"/>
      <w:ind w:left="720"/>
      <w:contextualSpacing/>
      <w:jc w:val="both"/>
    </w:pPr>
    <w:rPr>
      <w:rFonts w:ascii="Times New Roman" w:eastAsiaTheme="minorEastAsia"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1 Char,列出段落 Char,¥¡¡¡¡ì¬º¥¹¥È¶ÎÂä Char,ÁÐ³ö¶ÎÂä Char,¥ê¥¹¥È¶ÎÂä Char,列表段落1 Char,—ño’i—Ž Char,Lettre d'introduction Char,列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spacing w:line="259" w:lineRule="auto"/>
      <w:jc w:val="both"/>
    </w:pPr>
    <w:rPr>
      <w:rFonts w:ascii="Times New Roman" w:eastAsiaTheme="minorEastAsia"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spacing w:line="259" w:lineRule="auto"/>
      <w:jc w:val="both"/>
    </w:pPr>
    <w:rPr>
      <w:rFonts w:ascii="Times New Roman" w:eastAsiaTheme="minorEastAsia"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line="259" w:lineRule="auto"/>
    </w:pPr>
    <w:rPr>
      <w:rFonts w:ascii="SimSun" w:eastAsia="SimSun" w:hAnsi="SimSun" w:cs="SimSun"/>
      <w:lang w:val="en-US" w:eastAsia="zh-CN"/>
    </w:rPr>
  </w:style>
  <w:style w:type="paragraph" w:customStyle="1" w:styleId="xmsolistparagraph">
    <w:name w:val="x_msolistparagraph"/>
    <w:basedOn w:val="Normal"/>
    <w:rsid w:val="00A3297F"/>
    <w:pPr>
      <w:spacing w:after="180" w:line="259" w:lineRule="auto"/>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line="259" w:lineRule="auto"/>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line="259" w:lineRule="auto"/>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line="259" w:lineRule="auto"/>
    </w:pPr>
    <w:rPr>
      <w:rFonts w:asciiTheme="minorHAnsi" w:eastAsiaTheme="minorEastAsia" w:hAnsiTheme="minorHAnsi" w:cstheme="minorBidi"/>
      <w:sz w:val="22"/>
      <w:szCs w:val="22"/>
      <w:lang w:eastAsia="en-US"/>
    </w:rPr>
  </w:style>
  <w:style w:type="paragraph" w:styleId="BalloonText">
    <w:name w:val="Balloon Text"/>
    <w:basedOn w:val="Normal"/>
    <w:link w:val="BalloonTextChar"/>
    <w:uiPriority w:val="99"/>
    <w:semiHidden/>
    <w:unhideWhenUsed/>
    <w:rsid w:val="004A7E93"/>
    <w:pPr>
      <w:spacing w:line="259" w:lineRule="auto"/>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pPr>
      <w:spacing w:line="259" w:lineRule="auto"/>
    </w:pPr>
    <w:rPr>
      <w:rFonts w:eastAsiaTheme="minorEastAsia"/>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73556060">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37914535">
      <w:bodyDiv w:val="1"/>
      <w:marLeft w:val="0"/>
      <w:marRight w:val="0"/>
      <w:marTop w:val="0"/>
      <w:marBottom w:val="0"/>
      <w:divBdr>
        <w:top w:val="none" w:sz="0" w:space="0" w:color="auto"/>
        <w:left w:val="none" w:sz="0" w:space="0" w:color="auto"/>
        <w:bottom w:val="none" w:sz="0" w:space="0" w:color="auto"/>
        <w:right w:val="none" w:sz="0" w:space="0" w:color="auto"/>
      </w:divBdr>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483007484">
      <w:bodyDiv w:val="1"/>
      <w:marLeft w:val="0"/>
      <w:marRight w:val="0"/>
      <w:marTop w:val="0"/>
      <w:marBottom w:val="0"/>
      <w:divBdr>
        <w:top w:val="none" w:sz="0" w:space="0" w:color="auto"/>
        <w:left w:val="none" w:sz="0" w:space="0" w:color="auto"/>
        <w:bottom w:val="none" w:sz="0" w:space="0" w:color="auto"/>
        <w:right w:val="none" w:sz="0" w:space="0" w:color="auto"/>
      </w:divBdr>
    </w:div>
    <w:div w:id="529563203">
      <w:bodyDiv w:val="1"/>
      <w:marLeft w:val="0"/>
      <w:marRight w:val="0"/>
      <w:marTop w:val="0"/>
      <w:marBottom w:val="0"/>
      <w:divBdr>
        <w:top w:val="none" w:sz="0" w:space="0" w:color="auto"/>
        <w:left w:val="none" w:sz="0" w:space="0" w:color="auto"/>
        <w:bottom w:val="none" w:sz="0" w:space="0" w:color="auto"/>
        <w:right w:val="none" w:sz="0" w:space="0" w:color="auto"/>
      </w:divBdr>
    </w:div>
    <w:div w:id="532419828">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748700150">
      <w:bodyDiv w:val="1"/>
      <w:marLeft w:val="0"/>
      <w:marRight w:val="0"/>
      <w:marTop w:val="0"/>
      <w:marBottom w:val="0"/>
      <w:divBdr>
        <w:top w:val="none" w:sz="0" w:space="0" w:color="auto"/>
        <w:left w:val="none" w:sz="0" w:space="0" w:color="auto"/>
        <w:bottom w:val="none" w:sz="0" w:space="0" w:color="auto"/>
        <w:right w:val="none" w:sz="0" w:space="0" w:color="auto"/>
      </w:divBdr>
      <w:divsChild>
        <w:div w:id="568345802">
          <w:marLeft w:val="562"/>
          <w:marRight w:val="0"/>
          <w:marTop w:val="96"/>
          <w:marBottom w:val="0"/>
          <w:divBdr>
            <w:top w:val="none" w:sz="0" w:space="0" w:color="auto"/>
            <w:left w:val="none" w:sz="0" w:space="0" w:color="auto"/>
            <w:bottom w:val="none" w:sz="0" w:space="0" w:color="auto"/>
            <w:right w:val="none" w:sz="0" w:space="0" w:color="auto"/>
          </w:divBdr>
        </w:div>
        <w:div w:id="1651209759">
          <w:marLeft w:val="1022"/>
          <w:marRight w:val="0"/>
          <w:marTop w:val="86"/>
          <w:marBottom w:val="180"/>
          <w:divBdr>
            <w:top w:val="none" w:sz="0" w:space="0" w:color="auto"/>
            <w:left w:val="none" w:sz="0" w:space="0" w:color="auto"/>
            <w:bottom w:val="none" w:sz="0" w:space="0" w:color="auto"/>
            <w:right w:val="none" w:sz="0" w:space="0" w:color="auto"/>
          </w:divBdr>
        </w:div>
        <w:div w:id="1233658776">
          <w:marLeft w:val="1022"/>
          <w:marRight w:val="0"/>
          <w:marTop w:val="86"/>
          <w:marBottom w:val="180"/>
          <w:divBdr>
            <w:top w:val="none" w:sz="0" w:space="0" w:color="auto"/>
            <w:left w:val="none" w:sz="0" w:space="0" w:color="auto"/>
            <w:bottom w:val="none" w:sz="0" w:space="0" w:color="auto"/>
            <w:right w:val="none" w:sz="0" w:space="0" w:color="auto"/>
          </w:divBdr>
        </w:div>
        <w:div w:id="1764959542">
          <w:marLeft w:val="648"/>
          <w:marRight w:val="0"/>
          <w:marTop w:val="86"/>
          <w:marBottom w:val="0"/>
          <w:divBdr>
            <w:top w:val="none" w:sz="0" w:space="0" w:color="auto"/>
            <w:left w:val="none" w:sz="0" w:space="0" w:color="auto"/>
            <w:bottom w:val="none" w:sz="0" w:space="0" w:color="auto"/>
            <w:right w:val="none" w:sz="0" w:space="0" w:color="auto"/>
          </w:divBdr>
        </w:div>
        <w:div w:id="867066848">
          <w:marLeft w:val="821"/>
          <w:marRight w:val="0"/>
          <w:marTop w:val="86"/>
          <w:marBottom w:val="0"/>
          <w:divBdr>
            <w:top w:val="none" w:sz="0" w:space="0" w:color="auto"/>
            <w:left w:val="none" w:sz="0" w:space="0" w:color="auto"/>
            <w:bottom w:val="none" w:sz="0" w:space="0" w:color="auto"/>
            <w:right w:val="none" w:sz="0" w:space="0" w:color="auto"/>
          </w:divBdr>
        </w:div>
      </w:divsChild>
    </w:div>
    <w:div w:id="75066027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17861958">
      <w:bodyDiv w:val="1"/>
      <w:marLeft w:val="0"/>
      <w:marRight w:val="0"/>
      <w:marTop w:val="0"/>
      <w:marBottom w:val="0"/>
      <w:divBdr>
        <w:top w:val="none" w:sz="0" w:space="0" w:color="auto"/>
        <w:left w:val="none" w:sz="0" w:space="0" w:color="auto"/>
        <w:bottom w:val="none" w:sz="0" w:space="0" w:color="auto"/>
        <w:right w:val="none" w:sz="0" w:space="0" w:color="auto"/>
      </w:divBdr>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04475234">
      <w:bodyDiv w:val="1"/>
      <w:marLeft w:val="0"/>
      <w:marRight w:val="0"/>
      <w:marTop w:val="0"/>
      <w:marBottom w:val="0"/>
      <w:divBdr>
        <w:top w:val="none" w:sz="0" w:space="0" w:color="auto"/>
        <w:left w:val="none" w:sz="0" w:space="0" w:color="auto"/>
        <w:bottom w:val="none" w:sz="0" w:space="0" w:color="auto"/>
        <w:right w:val="none" w:sz="0" w:space="0" w:color="auto"/>
      </w:divBdr>
      <w:divsChild>
        <w:div w:id="2004896217">
          <w:marLeft w:val="562"/>
          <w:marRight w:val="0"/>
          <w:marTop w:val="96"/>
          <w:marBottom w:val="0"/>
          <w:divBdr>
            <w:top w:val="none" w:sz="0" w:space="0" w:color="auto"/>
            <w:left w:val="none" w:sz="0" w:space="0" w:color="auto"/>
            <w:bottom w:val="none" w:sz="0" w:space="0" w:color="auto"/>
            <w:right w:val="none" w:sz="0" w:space="0" w:color="auto"/>
          </w:divBdr>
        </w:div>
        <w:div w:id="549878405">
          <w:marLeft w:val="1022"/>
          <w:marRight w:val="0"/>
          <w:marTop w:val="86"/>
          <w:marBottom w:val="180"/>
          <w:divBdr>
            <w:top w:val="none" w:sz="0" w:space="0" w:color="auto"/>
            <w:left w:val="none" w:sz="0" w:space="0" w:color="auto"/>
            <w:bottom w:val="none" w:sz="0" w:space="0" w:color="auto"/>
            <w:right w:val="none" w:sz="0" w:space="0" w:color="auto"/>
          </w:divBdr>
        </w:div>
        <w:div w:id="563562750">
          <w:marLeft w:val="1022"/>
          <w:marRight w:val="0"/>
          <w:marTop w:val="86"/>
          <w:marBottom w:val="180"/>
          <w:divBdr>
            <w:top w:val="none" w:sz="0" w:space="0" w:color="auto"/>
            <w:left w:val="none" w:sz="0" w:space="0" w:color="auto"/>
            <w:bottom w:val="none" w:sz="0" w:space="0" w:color="auto"/>
            <w:right w:val="none" w:sz="0" w:space="0" w:color="auto"/>
          </w:divBdr>
        </w:div>
        <w:div w:id="1738362361">
          <w:marLeft w:val="821"/>
          <w:marRight w:val="0"/>
          <w:marTop w:val="86"/>
          <w:marBottom w:val="0"/>
          <w:divBdr>
            <w:top w:val="none" w:sz="0" w:space="0" w:color="auto"/>
            <w:left w:val="none" w:sz="0" w:space="0" w:color="auto"/>
            <w:bottom w:val="none" w:sz="0" w:space="0" w:color="auto"/>
            <w:right w:val="none" w:sz="0" w:space="0" w:color="auto"/>
          </w:divBdr>
        </w:div>
        <w:div w:id="422798248">
          <w:marLeft w:val="821"/>
          <w:marRight w:val="0"/>
          <w:marTop w:val="86"/>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18447558">
      <w:bodyDiv w:val="1"/>
      <w:marLeft w:val="0"/>
      <w:marRight w:val="0"/>
      <w:marTop w:val="0"/>
      <w:marBottom w:val="0"/>
      <w:divBdr>
        <w:top w:val="none" w:sz="0" w:space="0" w:color="auto"/>
        <w:left w:val="none" w:sz="0" w:space="0" w:color="auto"/>
        <w:bottom w:val="none" w:sz="0" w:space="0" w:color="auto"/>
        <w:right w:val="none" w:sz="0" w:space="0" w:color="auto"/>
      </w:divBdr>
    </w:div>
    <w:div w:id="1131364684">
      <w:bodyDiv w:val="1"/>
      <w:marLeft w:val="0"/>
      <w:marRight w:val="0"/>
      <w:marTop w:val="0"/>
      <w:marBottom w:val="0"/>
      <w:divBdr>
        <w:top w:val="none" w:sz="0" w:space="0" w:color="auto"/>
        <w:left w:val="none" w:sz="0" w:space="0" w:color="auto"/>
        <w:bottom w:val="none" w:sz="0" w:space="0" w:color="auto"/>
        <w:right w:val="none" w:sz="0" w:space="0" w:color="auto"/>
      </w:divBdr>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0963944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575581223">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18161428">
      <w:bodyDiv w:val="1"/>
      <w:marLeft w:val="0"/>
      <w:marRight w:val="0"/>
      <w:marTop w:val="0"/>
      <w:marBottom w:val="0"/>
      <w:divBdr>
        <w:top w:val="none" w:sz="0" w:space="0" w:color="auto"/>
        <w:left w:val="none" w:sz="0" w:space="0" w:color="auto"/>
        <w:bottom w:val="none" w:sz="0" w:space="0" w:color="auto"/>
        <w:right w:val="none" w:sz="0" w:space="0" w:color="auto"/>
      </w:divBdr>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0075817">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cliang\Documents\RAN1\Docs\R1-250170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1705</Words>
  <Characters>9722</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74</cp:revision>
  <dcterms:created xsi:type="dcterms:W3CDTF">2025-02-03T17:50:00Z</dcterms:created>
  <dcterms:modified xsi:type="dcterms:W3CDTF">2025-05-07T14:48:00Z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